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73" w:rsidRPr="00D05E2E" w:rsidRDefault="007A3373" w:rsidP="00496D00">
      <w:pPr>
        <w:pStyle w:val="revuerubrique"/>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jc w:val="center"/>
        <w:rPr>
          <w:rFonts w:ascii="Calibri" w:hAnsi="Calibri"/>
          <w:color w:val="FFFFFF"/>
          <w:sz w:val="26"/>
          <w:szCs w:val="26"/>
        </w:rPr>
      </w:pPr>
      <w:r w:rsidRPr="00D05E2E">
        <w:rPr>
          <w:rFonts w:ascii="Calibri" w:hAnsi="Calibri"/>
          <w:color w:val="FFFFFF"/>
          <w:sz w:val="26"/>
          <w:szCs w:val="26"/>
        </w:rPr>
        <w:t>Bien gérer le risque client</w:t>
      </w:r>
    </w:p>
    <w:p w:rsidR="007A3373" w:rsidRPr="00DB7C7E" w:rsidRDefault="007A3373" w:rsidP="00496D00">
      <w:pPr>
        <w:pStyle w:val="revuetitre"/>
        <w:spacing w:before="120" w:after="120"/>
        <w:rPr>
          <w:rFonts w:ascii="Calibri" w:hAnsi="Calibri"/>
          <w:color w:val="002060"/>
          <w:sz w:val="24"/>
        </w:rPr>
      </w:pPr>
      <w:r w:rsidRPr="00DB7C7E">
        <w:rPr>
          <w:rFonts w:ascii="Calibri" w:hAnsi="Calibri"/>
          <w:color w:val="002060"/>
          <w:sz w:val="24"/>
        </w:rPr>
        <w:t>Introduction</w:t>
      </w:r>
    </w:p>
    <w:p w:rsid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La gestion du risque client est un facteur clé de la pérennité des entreprises : </w:t>
      </w:r>
    </w:p>
    <w:p w:rsidR="0086696A" w:rsidRDefault="00DB7C7E" w:rsidP="00883515">
      <w:pPr>
        <w:pStyle w:val="revuetexte"/>
        <w:numPr>
          <w:ilvl w:val="0"/>
          <w:numId w:val="2"/>
        </w:numPr>
        <w:spacing w:after="60"/>
        <w:ind w:left="170" w:hanging="170"/>
        <w:jc w:val="both"/>
        <w:rPr>
          <w:rFonts w:ascii="Calibri" w:hAnsi="Calibri"/>
          <w:color w:val="002060"/>
          <w:sz w:val="20"/>
          <w:szCs w:val="20"/>
        </w:rPr>
      </w:pPr>
      <w:r w:rsidRPr="0086696A">
        <w:rPr>
          <w:rFonts w:ascii="Calibri" w:hAnsi="Calibri"/>
          <w:color w:val="002060"/>
          <w:sz w:val="20"/>
          <w:szCs w:val="20"/>
        </w:rPr>
        <w:t>D’une</w:t>
      </w:r>
      <w:r w:rsidR="007A3373" w:rsidRPr="0086696A">
        <w:rPr>
          <w:rFonts w:ascii="Calibri" w:hAnsi="Calibri"/>
          <w:color w:val="002060"/>
          <w:sz w:val="20"/>
          <w:szCs w:val="20"/>
        </w:rPr>
        <w:t xml:space="preserve"> part, la variation des délais de paiement, en impactant le besoin en fonds de roulement, a un effet immédiat sur la trésorerie ; </w:t>
      </w:r>
    </w:p>
    <w:p w:rsidR="007A3373" w:rsidRPr="0086696A" w:rsidRDefault="00DB7C7E" w:rsidP="00883515">
      <w:pPr>
        <w:pStyle w:val="revuetexte"/>
        <w:numPr>
          <w:ilvl w:val="0"/>
          <w:numId w:val="2"/>
        </w:numPr>
        <w:spacing w:after="60"/>
        <w:ind w:left="170" w:hanging="170"/>
        <w:jc w:val="both"/>
        <w:rPr>
          <w:rFonts w:ascii="Calibri" w:hAnsi="Calibri"/>
          <w:color w:val="002060"/>
          <w:sz w:val="20"/>
          <w:szCs w:val="20"/>
        </w:rPr>
      </w:pPr>
      <w:r>
        <w:rPr>
          <w:rFonts w:ascii="Calibri" w:hAnsi="Calibri"/>
          <w:color w:val="002060"/>
          <w:sz w:val="20"/>
          <w:szCs w:val="20"/>
        </w:rPr>
        <w:t>D</w:t>
      </w:r>
      <w:r w:rsidR="007A3373" w:rsidRPr="00883515">
        <w:rPr>
          <w:rFonts w:ascii="Calibri" w:hAnsi="Calibri"/>
          <w:color w:val="002060"/>
          <w:sz w:val="20"/>
          <w:szCs w:val="20"/>
        </w:rPr>
        <w:t xml:space="preserve">'autre part, le poste clients, qui représente plus de 40 % de la valeur des actifs des entreprises françaises, </w:t>
      </w:r>
      <w:r w:rsidR="007A3373" w:rsidRPr="00883515">
        <w:rPr>
          <w:rFonts w:ascii="Calibri" w:hAnsi="Calibri"/>
          <w:color w:val="FF0000"/>
          <w:sz w:val="20"/>
          <w:szCs w:val="20"/>
        </w:rPr>
        <w:t>est porteur d'un risque lié à l'insolvabilité de ces clients</w:t>
      </w:r>
      <w:r w:rsidR="007A3373" w:rsidRPr="0086696A">
        <w:rPr>
          <w:rFonts w:ascii="Calibri" w:hAnsi="Calibri"/>
          <w:color w:val="002060"/>
          <w:sz w:val="20"/>
          <w:szCs w:val="20"/>
        </w:rPr>
        <w:t>.</w:t>
      </w:r>
    </w:p>
    <w:p w:rsidR="00883515"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En matière de délais de paiement, la France se situe entre  les pays du nord de l'Europe, qui ont des pratiques de délais courts, avec un respect des délais négociés, et ceux du sud dont les délais sont beaucoup plus longs et dont les retards par rapport aux délais négociés sont importants. </w:t>
      </w:r>
    </w:p>
    <w:p w:rsidR="007A3373" w:rsidRP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L'encadrement législatif des délais de paiement, entamé depuis 1992 (pour les produits frais) a abouti, avec la loi de modernisation  de l'économie du 4 août 2008, à fixer un délai maximal de 45 jours fin de mois ou 60 jours à compter de la date d'émission de la facture, avec quelques dérogations jusqu'au 1</w:t>
      </w:r>
      <w:r w:rsidRPr="0086696A">
        <w:rPr>
          <w:rFonts w:ascii="Calibri" w:hAnsi="Calibri"/>
          <w:color w:val="002060"/>
          <w:sz w:val="20"/>
          <w:szCs w:val="20"/>
          <w:vertAlign w:val="superscript"/>
        </w:rPr>
        <w:t>er</w:t>
      </w:r>
      <w:r w:rsidRPr="0086696A">
        <w:rPr>
          <w:rFonts w:ascii="Calibri" w:hAnsi="Calibri"/>
          <w:color w:val="002060"/>
          <w:sz w:val="20"/>
          <w:szCs w:val="20"/>
        </w:rPr>
        <w:t> janvier 2012. La situation des entreprises françaises devrait donc s'améliorer dans les années à venir.</w:t>
      </w:r>
    </w:p>
    <w:p w:rsidR="007A3373" w:rsidRPr="0086696A" w:rsidRDefault="007A3373" w:rsidP="00883515">
      <w:pPr>
        <w:pStyle w:val="revuetexte"/>
        <w:shd w:val="clear" w:color="auto" w:fill="FFFFCC"/>
        <w:spacing w:after="60"/>
        <w:ind w:left="0"/>
        <w:jc w:val="both"/>
        <w:rPr>
          <w:rFonts w:ascii="Calibri" w:hAnsi="Calibri"/>
          <w:color w:val="002060"/>
          <w:sz w:val="20"/>
          <w:szCs w:val="20"/>
        </w:rPr>
      </w:pPr>
      <w:r w:rsidRPr="00883515">
        <w:rPr>
          <w:rFonts w:ascii="Calibri" w:hAnsi="Calibri"/>
          <w:color w:val="002060"/>
          <w:sz w:val="20"/>
          <w:szCs w:val="20"/>
          <w:shd w:val="clear" w:color="auto" w:fill="FFFFCC"/>
        </w:rPr>
        <w:t>Par ailleurs, la baisse des délais de paiement va réduire l'exposition  au risque d'insolvabilité des clients : un délai de paiement court favorise un encours plus léger, donc une prise de risque plus faible</w:t>
      </w:r>
      <w:r w:rsidRPr="0086696A">
        <w:rPr>
          <w:rFonts w:ascii="Calibri" w:hAnsi="Calibri"/>
          <w:color w:val="002060"/>
          <w:sz w:val="20"/>
          <w:szCs w:val="20"/>
        </w:rPr>
        <w:t>.</w:t>
      </w:r>
    </w:p>
    <w:p w:rsid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La qualité du portefeuille client, autant que la politique de l'entreprise  en matière de délais de paiement, est fondamentale. Au-delà de la qualité intrinsèque des clients, leur répartition dans le portefeuille est un élément décisif : il est sans doute préférable, en matière de risque, d'avoir  une multitude de clients « moyens » qu'une concentration de « bons clients ».</w:t>
      </w:r>
    </w:p>
    <w:p w:rsidR="00496D00" w:rsidRDefault="007A3373" w:rsidP="00496D00">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La pratique consistant à veiller à ce que 20 % des clients ne représente pas plus de 80 % des encours permet de répartir les risques. </w:t>
      </w:r>
      <w:r w:rsidR="00496D00">
        <w:rPr>
          <w:rFonts w:ascii="Calibri" w:hAnsi="Calibri"/>
          <w:color w:val="002060"/>
          <w:sz w:val="20"/>
          <w:szCs w:val="20"/>
        </w:rPr>
        <w:t>Ce</w:t>
      </w:r>
      <w:r w:rsidRPr="0086696A">
        <w:rPr>
          <w:rFonts w:ascii="Calibri" w:hAnsi="Calibri"/>
          <w:color w:val="002060"/>
          <w:sz w:val="20"/>
          <w:szCs w:val="20"/>
        </w:rPr>
        <w:t xml:space="preserve"> dossier répond ainsi aux </w:t>
      </w:r>
      <w:r w:rsidR="00496D00">
        <w:rPr>
          <w:rFonts w:ascii="Calibri" w:hAnsi="Calibri"/>
          <w:color w:val="002060"/>
          <w:sz w:val="20"/>
          <w:szCs w:val="20"/>
        </w:rPr>
        <w:t>3</w:t>
      </w:r>
      <w:r w:rsidRPr="0086696A">
        <w:rPr>
          <w:rFonts w:ascii="Calibri" w:hAnsi="Calibri"/>
          <w:color w:val="002060"/>
          <w:sz w:val="20"/>
          <w:szCs w:val="20"/>
        </w:rPr>
        <w:t xml:space="preserve"> questions fondamentales : </w:t>
      </w:r>
    </w:p>
    <w:p w:rsidR="00496D00" w:rsidRDefault="00496D00" w:rsidP="00496D00">
      <w:pPr>
        <w:pStyle w:val="revuetexte"/>
        <w:spacing w:after="60"/>
        <w:ind w:left="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A07A2B" wp14:editId="377B93DF">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C</w:t>
      </w:r>
      <w:r w:rsidR="007A3373" w:rsidRPr="0086696A">
        <w:rPr>
          <w:rFonts w:ascii="Calibri" w:hAnsi="Calibri"/>
          <w:color w:val="002060"/>
          <w:sz w:val="20"/>
          <w:szCs w:val="20"/>
        </w:rPr>
        <w:t xml:space="preserve">omment prévenir les risques de crédit (identification et évaluation) ? </w:t>
      </w:r>
    </w:p>
    <w:p w:rsidR="00496D00" w:rsidRDefault="00496D00" w:rsidP="00496D00">
      <w:pPr>
        <w:pStyle w:val="revuetexte"/>
        <w:spacing w:after="60"/>
        <w:ind w:left="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A07A2B" wp14:editId="377B93DF">
            <wp:extent cx="114300" cy="95250"/>
            <wp:effectExtent l="0" t="0" r="0" b="0"/>
            <wp:docPr id="33" name="Image 3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C</w:t>
      </w:r>
      <w:r w:rsidR="007A3373" w:rsidRPr="0086696A">
        <w:rPr>
          <w:rFonts w:ascii="Calibri" w:hAnsi="Calibri"/>
          <w:color w:val="002060"/>
          <w:sz w:val="20"/>
          <w:szCs w:val="20"/>
        </w:rPr>
        <w:t xml:space="preserve">omment se couvrir face à ces risques ?  </w:t>
      </w:r>
    </w:p>
    <w:p w:rsidR="007A3373" w:rsidRPr="0086696A" w:rsidRDefault="00496D00" w:rsidP="00D93C2C">
      <w:pPr>
        <w:pStyle w:val="revuetexte"/>
        <w:spacing w:after="100" w:afterAutospacing="1"/>
        <w:ind w:left="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A07A2B" wp14:editId="377B93DF">
            <wp:extent cx="114300" cy="95250"/>
            <wp:effectExtent l="0" t="0" r="0" b="0"/>
            <wp:docPr id="37" name="Image 3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C</w:t>
      </w:r>
      <w:r w:rsidR="007A3373" w:rsidRPr="0086696A">
        <w:rPr>
          <w:rFonts w:ascii="Calibri" w:hAnsi="Calibri"/>
          <w:color w:val="002060"/>
          <w:sz w:val="20"/>
          <w:szCs w:val="20"/>
        </w:rPr>
        <w:t>omment optimiser les rentrées de cash et se financer ?</w:t>
      </w:r>
    </w:p>
    <w:p w:rsidR="007A3373" w:rsidRPr="00DB7C7E" w:rsidRDefault="007A3373" w:rsidP="00496D00">
      <w:pPr>
        <w:pStyle w:val="revuetitre"/>
        <w:spacing w:before="0" w:after="120"/>
        <w:rPr>
          <w:rFonts w:ascii="Calibri" w:hAnsi="Calibri"/>
          <w:color w:val="002060"/>
          <w:sz w:val="24"/>
        </w:rPr>
      </w:pPr>
      <w:r w:rsidRPr="00DB7C7E">
        <w:rPr>
          <w:rFonts w:ascii="Calibri" w:hAnsi="Calibri"/>
          <w:color w:val="002060"/>
          <w:sz w:val="24"/>
        </w:rPr>
        <w:t xml:space="preserve">Identifier les risques de crédit et les évaluer pour les prévenir </w:t>
      </w:r>
    </w:p>
    <w:p w:rsidR="0086696A" w:rsidRDefault="007A3373" w:rsidP="0086696A">
      <w:pPr>
        <w:pStyle w:val="revuechapo"/>
        <w:spacing w:before="0" w:after="100" w:afterAutospacing="1"/>
        <w:ind w:left="0"/>
        <w:jc w:val="both"/>
        <w:rPr>
          <w:rFonts w:ascii="Calibri" w:hAnsi="Calibri"/>
          <w:color w:val="002060"/>
          <w:sz w:val="20"/>
          <w:szCs w:val="20"/>
        </w:rPr>
      </w:pPr>
      <w:r w:rsidRPr="0086696A">
        <w:rPr>
          <w:rFonts w:ascii="Calibri" w:hAnsi="Calibri"/>
          <w:color w:val="002060"/>
          <w:sz w:val="20"/>
          <w:szCs w:val="20"/>
        </w:rPr>
        <w:t>L'information sur les clients doit être collectée très en amont de la vente et actualisée en permanence, à travers l'information commerciale, l'information légale et l'information interne à l'entreprise par le biais des commerciaux. À partir de là, l'entreprise peut évaluer le risque de crédit attaché à un client et fixer une limite de crédit pour chaque client ou prospect.</w:t>
      </w:r>
    </w:p>
    <w:p w:rsidR="007A3373" w:rsidRPr="00DB7C7E" w:rsidRDefault="00883515" w:rsidP="00496D00">
      <w:pPr>
        <w:pStyle w:val="revueintertitre"/>
        <w:spacing w:before="0" w:after="120"/>
        <w:ind w:left="0"/>
        <w:rPr>
          <w:rFonts w:ascii="Calibri" w:hAnsi="Calibri"/>
          <w:color w:val="002060"/>
          <w:sz w:val="24"/>
          <w:szCs w:val="26"/>
        </w:rPr>
      </w:pPr>
      <w:r w:rsidRPr="00DB7C7E">
        <w:rPr>
          <w:rFonts w:ascii="Calibri" w:hAnsi="Calibri"/>
          <w:caps w:val="0"/>
          <w:color w:val="002060"/>
          <w:sz w:val="24"/>
          <w:szCs w:val="26"/>
        </w:rPr>
        <w:t xml:space="preserve">Quand et comment détecter des risques de crédit ? </w:t>
      </w:r>
    </w:p>
    <w:p w:rsidR="007A3373" w:rsidRPr="00DB7C7E" w:rsidRDefault="007A3373" w:rsidP="00814AB6">
      <w:pPr>
        <w:pStyle w:val="revuesousintertitre"/>
        <w:spacing w:before="0"/>
        <w:ind w:left="0"/>
        <w:jc w:val="both"/>
        <w:rPr>
          <w:rFonts w:ascii="Calibri" w:hAnsi="Calibri"/>
          <w:color w:val="002060"/>
          <w:sz w:val="21"/>
          <w:szCs w:val="21"/>
        </w:rPr>
      </w:pPr>
      <w:r w:rsidRPr="00DB7C7E">
        <w:rPr>
          <w:rStyle w:val="revuesousintertitre1"/>
          <w:rFonts w:ascii="Calibri" w:hAnsi="Calibri"/>
          <w:color w:val="002060"/>
          <w:sz w:val="21"/>
          <w:szCs w:val="21"/>
        </w:rPr>
        <w:t xml:space="preserve">Dès la prospection : veiller à la qualité du prospect ou du client </w:t>
      </w:r>
    </w:p>
    <w:p w:rsidR="007A3373" w:rsidRPr="0086696A" w:rsidRDefault="007A3373" w:rsidP="0086696A">
      <w:pPr>
        <w:pStyle w:val="revuetexte"/>
        <w:spacing w:after="60"/>
        <w:ind w:left="0"/>
        <w:jc w:val="both"/>
        <w:rPr>
          <w:rFonts w:ascii="Calibri" w:hAnsi="Calibri"/>
          <w:color w:val="002060"/>
          <w:sz w:val="20"/>
          <w:szCs w:val="20"/>
        </w:rPr>
      </w:pPr>
      <w:r w:rsidRPr="0086696A">
        <w:rPr>
          <w:rStyle w:val="lev"/>
          <w:rFonts w:ascii="Calibri" w:hAnsi="Calibri"/>
          <w:color w:val="002060"/>
          <w:sz w:val="20"/>
          <w:szCs w:val="20"/>
        </w:rPr>
        <w:t xml:space="preserve">L'avant-vente </w:t>
      </w:r>
      <w:proofErr w:type="gramStart"/>
      <w:r w:rsidRPr="0086696A">
        <w:rPr>
          <w:rStyle w:val="lev"/>
          <w:rFonts w:ascii="Calibri" w:hAnsi="Calibri"/>
          <w:color w:val="002060"/>
          <w:sz w:val="20"/>
          <w:szCs w:val="20"/>
        </w:rPr>
        <w:t>a</w:t>
      </w:r>
      <w:proofErr w:type="gramEnd"/>
      <w:r w:rsidRPr="0086696A">
        <w:rPr>
          <w:rStyle w:val="lev"/>
          <w:rFonts w:ascii="Calibri" w:hAnsi="Calibri"/>
          <w:color w:val="002060"/>
          <w:sz w:val="20"/>
          <w:szCs w:val="20"/>
        </w:rPr>
        <w:t xml:space="preserve"> une durée très variable</w:t>
      </w:r>
      <w:r w:rsidRPr="0086696A">
        <w:rPr>
          <w:rFonts w:ascii="Calibri" w:hAnsi="Calibri"/>
          <w:color w:val="002060"/>
          <w:sz w:val="20"/>
          <w:szCs w:val="20"/>
        </w:rPr>
        <w:t xml:space="preserve"> en fonction de la nature des biens achetés et de la stratégie commerciale des entreprises.</w:t>
      </w:r>
    </w:p>
    <w:p w:rsidR="007A3373" w:rsidRPr="0086696A" w:rsidRDefault="007A3373" w:rsidP="0086696A">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L'acquisition de biens de production, par exemple, nécessite une étude approfondie des besoins, des budgets de financement, un calcul de retour sur investissement, un appel d'offres... Dans ce cas, l'avant-vente, qui va de la sollicitation commerciale du fournisseur jusqu'à la signature du contrat, peut durer plusieurs mois. </w:t>
      </w:r>
    </w:p>
    <w:p w:rsidR="007A3373" w:rsidRPr="0086696A" w:rsidRDefault="007A3373" w:rsidP="0086696A">
      <w:pPr>
        <w:pStyle w:val="revuetexte"/>
        <w:spacing w:after="120"/>
        <w:ind w:left="0"/>
        <w:jc w:val="both"/>
        <w:rPr>
          <w:rFonts w:ascii="Calibri" w:hAnsi="Calibri"/>
          <w:color w:val="002060"/>
          <w:sz w:val="20"/>
          <w:szCs w:val="20"/>
        </w:rPr>
      </w:pPr>
      <w:r w:rsidRPr="0086696A">
        <w:rPr>
          <w:rFonts w:ascii="Calibri" w:hAnsi="Calibri"/>
          <w:color w:val="002060"/>
          <w:sz w:val="20"/>
          <w:szCs w:val="20"/>
        </w:rPr>
        <w:t>La prospection commerciale, plus en amont encore du processus de vente, anticipe les besoins des acheteurs.</w:t>
      </w:r>
      <w:r w:rsidR="0086696A">
        <w:rPr>
          <w:rFonts w:ascii="Calibri" w:hAnsi="Calibri"/>
          <w:color w:val="002060"/>
          <w:sz w:val="20"/>
          <w:szCs w:val="20"/>
        </w:rPr>
        <w:t xml:space="preserve"> </w:t>
      </w:r>
      <w:r w:rsidRPr="0086696A">
        <w:rPr>
          <w:rFonts w:ascii="Calibri" w:hAnsi="Calibri"/>
          <w:color w:val="002060"/>
          <w:sz w:val="20"/>
          <w:szCs w:val="20"/>
        </w:rPr>
        <w:t xml:space="preserve">Parfois, l'étape de l'avant-vente est très courte et la formalisation de la vente est simplifiée. C'est le cas, notamment, pour un fournisseur de matériaux de construction qui doit livrer dans les 8 heures ouvrées un client sur un chantier. </w:t>
      </w:r>
    </w:p>
    <w:p w:rsidR="007A3373" w:rsidRPr="0086696A" w:rsidRDefault="007A3373" w:rsidP="00003B10">
      <w:pPr>
        <w:pStyle w:val="revuetexte"/>
        <w:spacing w:after="60"/>
        <w:ind w:left="0"/>
        <w:jc w:val="both"/>
        <w:rPr>
          <w:rFonts w:ascii="Calibri" w:hAnsi="Calibri"/>
          <w:color w:val="002060"/>
          <w:sz w:val="20"/>
          <w:szCs w:val="20"/>
        </w:rPr>
      </w:pPr>
      <w:r w:rsidRPr="0086696A">
        <w:rPr>
          <w:rStyle w:val="lev"/>
          <w:rFonts w:ascii="Calibri" w:hAnsi="Calibri"/>
          <w:color w:val="002060"/>
          <w:sz w:val="20"/>
          <w:szCs w:val="20"/>
        </w:rPr>
        <w:t xml:space="preserve">Quelle que soit la situation, une attention toute particulière est à porter à la qualité du prospect ou de l'acheteur </w:t>
      </w:r>
      <w:r w:rsidRPr="0086696A">
        <w:rPr>
          <w:rFonts w:ascii="Calibri" w:hAnsi="Calibri"/>
          <w:color w:val="002060"/>
          <w:sz w:val="20"/>
          <w:szCs w:val="20"/>
        </w:rPr>
        <w:t>- L'entreprise a notamment pour exigence une affectation optimale des ressources commerciales, permettant de résoudre l'équation « réalisation des budgets commerciaux et maîtrise des coûts ».</w:t>
      </w:r>
    </w:p>
    <w:p w:rsidR="007A3373" w:rsidRPr="0086696A" w:rsidRDefault="00883515" w:rsidP="0086696A">
      <w:pPr>
        <w:pStyle w:val="revuetexte"/>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809B2E1" wp14:editId="37203642">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Identifier les potentiels de développement dans la base « prospects »</w:t>
      </w:r>
      <w:r w:rsidR="007A3373" w:rsidRPr="0086696A">
        <w:rPr>
          <w:rFonts w:ascii="Calibri" w:hAnsi="Calibri"/>
          <w:color w:val="002060"/>
          <w:sz w:val="20"/>
          <w:szCs w:val="20"/>
        </w:rPr>
        <w:t xml:space="preserve">. Des critères comme le développement du chiffre d'affaires et la rentabilité, l'intégration au périmètre d'un groupe reconnu, la croissance externe, la signature de contrats importants... sont des éléments qui peuvent être pris en considération. </w:t>
      </w:r>
    </w:p>
    <w:p w:rsidR="007A3373" w:rsidRPr="0086696A" w:rsidRDefault="00883515" w:rsidP="0086696A">
      <w:pPr>
        <w:pStyle w:val="revuetexte"/>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809B2E1" wp14:editId="37203642">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Appréhender la solvabilité des prospects</w:t>
      </w:r>
      <w:r w:rsidR="007A3373" w:rsidRPr="0086696A">
        <w:rPr>
          <w:rFonts w:ascii="Calibri" w:hAnsi="Calibri"/>
          <w:color w:val="002060"/>
          <w:sz w:val="20"/>
          <w:szCs w:val="20"/>
        </w:rPr>
        <w:t>. C'est un point essentiel duquel dépendent directement la mobilisation commerciale et les conditions de règlement qui seront proposées :</w:t>
      </w:r>
    </w:p>
    <w:p w:rsidR="007A3373" w:rsidRPr="0086696A" w:rsidRDefault="007A3373" w:rsidP="0086696A">
      <w:pPr>
        <w:pStyle w:val="revuetexte"/>
        <w:spacing w:after="60"/>
        <w:ind w:left="340" w:hanging="113"/>
        <w:jc w:val="both"/>
        <w:rPr>
          <w:rFonts w:ascii="Calibri" w:hAnsi="Calibri"/>
          <w:color w:val="002060"/>
          <w:sz w:val="20"/>
          <w:szCs w:val="20"/>
        </w:rPr>
      </w:pPr>
      <w:r w:rsidRPr="0086696A">
        <w:rPr>
          <w:rFonts w:ascii="Calibri" w:hAnsi="Calibri"/>
          <w:color w:val="002060"/>
          <w:sz w:val="20"/>
          <w:szCs w:val="20"/>
        </w:rPr>
        <w:t>- s'agissant d'un client dont la solvabilité n'appelle pas d'attention particulière, les conditions générales de vente (CGV) s'appliquent et les conditions particulières peuvent être négociées dans la limite des dispositions légales. L'encours autorisé sera suffisant pour traiter les volumes attendus sur l'année ;</w:t>
      </w:r>
    </w:p>
    <w:p w:rsidR="007A3373" w:rsidRPr="0086696A" w:rsidRDefault="007A3373" w:rsidP="0086696A">
      <w:pPr>
        <w:pStyle w:val="revuetexte"/>
        <w:spacing w:after="60"/>
        <w:ind w:left="340" w:hanging="113"/>
        <w:jc w:val="both"/>
        <w:rPr>
          <w:rFonts w:ascii="Calibri" w:hAnsi="Calibri"/>
          <w:color w:val="002060"/>
          <w:sz w:val="20"/>
          <w:szCs w:val="20"/>
        </w:rPr>
      </w:pPr>
      <w:r w:rsidRPr="0086696A">
        <w:rPr>
          <w:rFonts w:ascii="Calibri" w:hAnsi="Calibri"/>
          <w:color w:val="002060"/>
          <w:sz w:val="20"/>
          <w:szCs w:val="20"/>
        </w:rPr>
        <w:lastRenderedPageBreak/>
        <w:t xml:space="preserve">- pour une entreprise qui présente des risques d'insolvabilité, les conditions particulières prévoiront par exemple un plafonnement de l'encours autorisé à un faible niveau, un paiement </w:t>
      </w:r>
      <w:smartTag w:uri="urn:schemas-microsoft-com:office:smarttags" w:element="PersonName">
        <w:r w:rsidRPr="0086696A">
          <w:rPr>
            <w:rFonts w:ascii="Calibri" w:hAnsi="Calibri"/>
            <w:color w:val="002060"/>
            <w:sz w:val="20"/>
            <w:szCs w:val="20"/>
          </w:rPr>
          <w:t>compta</w:t>
        </w:r>
      </w:smartTag>
      <w:r w:rsidRPr="0086696A">
        <w:rPr>
          <w:rFonts w:ascii="Calibri" w:hAnsi="Calibri"/>
          <w:color w:val="002060"/>
          <w:sz w:val="20"/>
          <w:szCs w:val="20"/>
        </w:rPr>
        <w:t>nt ou la prise de garanties.</w:t>
      </w:r>
    </w:p>
    <w:p w:rsid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Grâce à l'identification des risques et des potentiels, le vendeur va pouvoir cibler ses actions de prospection, établir des propositions commerciales conformes à la capacité financière des entreprises, respectueuse des procédures internes et des dispositions légales : </w:t>
      </w:r>
    </w:p>
    <w:p w:rsidR="0086696A" w:rsidRPr="0086696A" w:rsidRDefault="0086696A" w:rsidP="00883515">
      <w:pPr>
        <w:pStyle w:val="revuetexte"/>
        <w:spacing w:after="60"/>
        <w:ind w:left="170" w:hanging="170"/>
        <w:jc w:val="both"/>
        <w:rPr>
          <w:rFonts w:ascii="Calibri" w:hAnsi="Calibri"/>
          <w:color w:val="002060"/>
          <w:sz w:val="20"/>
          <w:szCs w:val="20"/>
        </w:rPr>
      </w:pPr>
      <w:r>
        <w:rPr>
          <w:rFonts w:ascii="Calibri" w:hAnsi="Calibri"/>
          <w:color w:val="002060"/>
          <w:sz w:val="20"/>
          <w:szCs w:val="20"/>
        </w:rPr>
        <w:t xml:space="preserve">- </w:t>
      </w:r>
      <w:r w:rsidRPr="0086696A">
        <w:rPr>
          <w:rFonts w:ascii="Calibri" w:hAnsi="Calibri"/>
          <w:color w:val="002060"/>
          <w:sz w:val="20"/>
          <w:szCs w:val="20"/>
        </w:rPr>
        <w:t xml:space="preserve">vis-à-vis des prospects, la détection des risques conduit à poser des conditions à l'entrée des relations ; </w:t>
      </w:r>
    </w:p>
    <w:p w:rsidR="0086696A" w:rsidRDefault="0086696A" w:rsidP="00883515">
      <w:pPr>
        <w:pStyle w:val="revuetexte"/>
        <w:spacing w:after="120"/>
        <w:ind w:left="170" w:hanging="170"/>
        <w:jc w:val="both"/>
        <w:rPr>
          <w:rFonts w:ascii="Calibri" w:hAnsi="Calibri"/>
          <w:color w:val="002060"/>
          <w:sz w:val="20"/>
          <w:szCs w:val="20"/>
        </w:rPr>
      </w:pPr>
      <w:r>
        <w:rPr>
          <w:rFonts w:ascii="Calibri" w:hAnsi="Calibri"/>
          <w:color w:val="002060"/>
          <w:sz w:val="20"/>
          <w:szCs w:val="20"/>
        </w:rPr>
        <w:t xml:space="preserve">- </w:t>
      </w:r>
      <w:r w:rsidRPr="0086696A">
        <w:rPr>
          <w:rFonts w:ascii="Calibri" w:hAnsi="Calibri"/>
          <w:color w:val="002060"/>
          <w:sz w:val="20"/>
          <w:szCs w:val="20"/>
        </w:rPr>
        <w:t>vis-à-vis des clients, la surveillance permet de sécuriser l'encours et de réviser les conditions particulières des ventes à venir</w:t>
      </w:r>
    </w:p>
    <w:p w:rsidR="007A3373" w:rsidRPr="00DB7C7E" w:rsidRDefault="007A3373" w:rsidP="00883515">
      <w:pPr>
        <w:pStyle w:val="revuesousintertitre"/>
        <w:spacing w:before="0" w:after="60"/>
        <w:ind w:left="0"/>
        <w:rPr>
          <w:rFonts w:ascii="Calibri" w:hAnsi="Calibri"/>
          <w:color w:val="002060"/>
          <w:sz w:val="21"/>
          <w:szCs w:val="21"/>
        </w:rPr>
      </w:pPr>
      <w:r w:rsidRPr="00DB7C7E">
        <w:rPr>
          <w:rStyle w:val="revuesousintertitre1"/>
          <w:rFonts w:ascii="Calibri" w:hAnsi="Calibri"/>
          <w:color w:val="002060"/>
          <w:sz w:val="21"/>
          <w:szCs w:val="21"/>
        </w:rPr>
        <w:t xml:space="preserve">Actualiser son information en permanence à partir de sources sélectionnées </w:t>
      </w:r>
    </w:p>
    <w:p w:rsidR="007A3373" w:rsidRP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Les sources d'informations sont multiples et les données nombreuses. Il est important de retenir celles qui seront utiles à la prise de décision.</w:t>
      </w:r>
    </w:p>
    <w:p w:rsidR="007A3373" w:rsidRP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En fonction du nombre de clients/prospects, de la typologie des clients (marchés, international, grands comptes...), une codification judicieuse permettra une bonne exploitation pour les différentes fonctions : </w:t>
      </w:r>
    </w:p>
    <w:p w:rsidR="007A3373" w:rsidRPr="0086696A" w:rsidRDefault="007A3373" w:rsidP="00883515">
      <w:pPr>
        <w:pStyle w:val="revuetexte"/>
        <w:spacing w:after="60"/>
        <w:ind w:left="113" w:hanging="113"/>
        <w:jc w:val="both"/>
        <w:rPr>
          <w:rFonts w:ascii="Calibri" w:hAnsi="Calibri"/>
          <w:color w:val="002060"/>
          <w:sz w:val="20"/>
          <w:szCs w:val="20"/>
        </w:rPr>
      </w:pPr>
      <w:r w:rsidRPr="0086696A">
        <w:rPr>
          <w:rFonts w:ascii="Calibri" w:hAnsi="Calibri"/>
          <w:color w:val="002060"/>
          <w:sz w:val="20"/>
          <w:szCs w:val="20"/>
        </w:rPr>
        <w:t>- commercial, comme évoqué ci-dessus ;</w:t>
      </w:r>
    </w:p>
    <w:p w:rsidR="007A3373" w:rsidRPr="0086696A" w:rsidRDefault="007A3373" w:rsidP="00883515">
      <w:pPr>
        <w:pStyle w:val="revuetexte"/>
        <w:spacing w:after="60"/>
        <w:ind w:left="113" w:hanging="113"/>
        <w:jc w:val="both"/>
        <w:rPr>
          <w:rFonts w:ascii="Calibri" w:hAnsi="Calibri"/>
          <w:color w:val="002060"/>
          <w:sz w:val="20"/>
          <w:szCs w:val="20"/>
        </w:rPr>
      </w:pPr>
      <w:r w:rsidRPr="0086696A">
        <w:rPr>
          <w:rFonts w:ascii="Calibri" w:hAnsi="Calibri"/>
          <w:color w:val="002060"/>
          <w:sz w:val="20"/>
          <w:szCs w:val="20"/>
        </w:rPr>
        <w:t>- administration des ventes, pour faciliter la saisie et le contrôle des commandes ;</w:t>
      </w:r>
    </w:p>
    <w:p w:rsidR="007A3373" w:rsidRPr="0086696A" w:rsidRDefault="007A3373" w:rsidP="00883515">
      <w:pPr>
        <w:pStyle w:val="revuetexte"/>
        <w:spacing w:after="60"/>
        <w:ind w:left="113" w:hanging="113"/>
        <w:jc w:val="both"/>
        <w:rPr>
          <w:rFonts w:ascii="Calibri" w:hAnsi="Calibri"/>
          <w:color w:val="002060"/>
          <w:sz w:val="20"/>
          <w:szCs w:val="20"/>
        </w:rPr>
      </w:pPr>
      <w:r w:rsidRPr="0086696A">
        <w:rPr>
          <w:rFonts w:ascii="Calibri" w:hAnsi="Calibri"/>
          <w:color w:val="002060"/>
          <w:sz w:val="20"/>
          <w:szCs w:val="20"/>
        </w:rPr>
        <w:t>- cr</w:t>
      </w:r>
      <w:r w:rsidR="00643B5C" w:rsidRPr="0086696A">
        <w:rPr>
          <w:rFonts w:ascii="Calibri" w:hAnsi="Calibri"/>
          <w:color w:val="002060"/>
          <w:sz w:val="20"/>
          <w:szCs w:val="20"/>
        </w:rPr>
        <w:t>é</w:t>
      </w:r>
      <w:r w:rsidRPr="0086696A">
        <w:rPr>
          <w:rFonts w:ascii="Calibri" w:hAnsi="Calibri"/>
          <w:color w:val="002060"/>
          <w:sz w:val="20"/>
          <w:szCs w:val="20"/>
        </w:rPr>
        <w:t>dit management, pour adapter les procédures de crédit et de recouvrement à chaque situation et garantir la fluidité du poste clients ;</w:t>
      </w:r>
    </w:p>
    <w:p w:rsidR="007A3373" w:rsidRPr="0086696A" w:rsidRDefault="007A3373" w:rsidP="000C2622">
      <w:pPr>
        <w:pStyle w:val="revuetexte"/>
        <w:spacing w:after="120"/>
        <w:ind w:left="113" w:hanging="113"/>
        <w:jc w:val="both"/>
        <w:rPr>
          <w:rFonts w:ascii="Calibri" w:hAnsi="Calibri"/>
          <w:color w:val="002060"/>
          <w:sz w:val="20"/>
          <w:szCs w:val="20"/>
        </w:rPr>
      </w:pPr>
      <w:r w:rsidRPr="0086696A">
        <w:rPr>
          <w:rFonts w:ascii="Calibri" w:hAnsi="Calibri"/>
          <w:color w:val="002060"/>
          <w:sz w:val="20"/>
          <w:szCs w:val="20"/>
        </w:rPr>
        <w:t>- marketing, pour faire des analyses segmentées des activités...</w:t>
      </w:r>
    </w:p>
    <w:p w:rsidR="007A3373" w:rsidRPr="00DB7C7E" w:rsidRDefault="007A3373" w:rsidP="000C2622">
      <w:pPr>
        <w:pStyle w:val="revuetexte"/>
        <w:spacing w:after="60"/>
        <w:ind w:left="0"/>
        <w:jc w:val="both"/>
        <w:rPr>
          <w:rFonts w:ascii="Calibri" w:hAnsi="Calibri"/>
          <w:color w:val="002060"/>
          <w:sz w:val="21"/>
          <w:szCs w:val="21"/>
        </w:rPr>
      </w:pPr>
      <w:r w:rsidRPr="00DB7C7E">
        <w:rPr>
          <w:rStyle w:val="lev"/>
          <w:rFonts w:ascii="Calibri" w:hAnsi="Calibri"/>
          <w:color w:val="002060"/>
          <w:sz w:val="21"/>
          <w:szCs w:val="21"/>
        </w:rPr>
        <w:t xml:space="preserve">L'information commerciale </w:t>
      </w:r>
    </w:p>
    <w:p w:rsidR="007A3373" w:rsidRPr="0086696A" w:rsidRDefault="007A3373" w:rsidP="000B1C28">
      <w:pPr>
        <w:pStyle w:val="revuetexte"/>
        <w:spacing w:after="60"/>
        <w:ind w:left="0"/>
        <w:jc w:val="both"/>
        <w:rPr>
          <w:rFonts w:ascii="Calibri" w:hAnsi="Calibri"/>
          <w:color w:val="002060"/>
          <w:sz w:val="20"/>
          <w:szCs w:val="20"/>
        </w:rPr>
      </w:pPr>
      <w:r w:rsidRPr="0086696A">
        <w:rPr>
          <w:rFonts w:ascii="Calibri" w:hAnsi="Calibri"/>
          <w:color w:val="002060"/>
          <w:sz w:val="20"/>
          <w:szCs w:val="20"/>
        </w:rPr>
        <w:t>Il s'agit de l'information communiquée par des sociétés spécialisées dans la fourniture de renseignements juridiques, financiers et commerciaux sur des entreprises domiciliées en France ou à l'étranger. Celle-ci reprend les principales données des greffes des tribunaux de commerce (identité, procédure collective...) et la complète de façon judicieuse.</w:t>
      </w:r>
    </w:p>
    <w:p w:rsidR="007A3373" w:rsidRPr="0086696A" w:rsidRDefault="00791D72" w:rsidP="000C2622">
      <w:pPr>
        <w:pStyle w:val="revuetexte"/>
        <w:spacing w:after="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3B05EB6" wp14:editId="702E2ECD">
            <wp:extent cx="114300" cy="95250"/>
            <wp:effectExtent l="0" t="0" r="0" b="0"/>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Ainsi, le prestataire renseigne sur sa connaissance du comportement payeur de l'entreprise étudiée, </w:t>
      </w:r>
      <w:r w:rsidR="007A3373" w:rsidRPr="0086696A">
        <w:rPr>
          <w:rFonts w:ascii="Calibri" w:hAnsi="Calibri"/>
          <w:color w:val="002060"/>
          <w:sz w:val="20"/>
          <w:szCs w:val="20"/>
        </w:rPr>
        <w:t>sur ses marchés, ses principaux clients et fournisseurs, ses perspectives de développement, il apporte des indicateurs financiers... et proposera parfois des articles de presse (traduisant des succès ou des difficultés).</w:t>
      </w:r>
    </w:p>
    <w:p w:rsidR="007A3373" w:rsidRPr="0086696A" w:rsidRDefault="007A3373" w:rsidP="000C2622">
      <w:pPr>
        <w:pStyle w:val="revuetexte"/>
        <w:spacing w:after="0"/>
        <w:ind w:left="170"/>
        <w:jc w:val="both"/>
        <w:rPr>
          <w:rFonts w:ascii="Calibri" w:hAnsi="Calibri"/>
          <w:color w:val="002060"/>
          <w:sz w:val="20"/>
          <w:szCs w:val="20"/>
        </w:rPr>
      </w:pPr>
      <w:r w:rsidRPr="0086696A">
        <w:rPr>
          <w:rFonts w:ascii="Calibri" w:hAnsi="Calibri"/>
          <w:color w:val="002060"/>
          <w:sz w:val="20"/>
          <w:szCs w:val="20"/>
        </w:rPr>
        <w:t xml:space="preserve">Le prestataire complète toute cette information par un commentaire d'ensemble, une cotation du risque et un encours recommandé. </w:t>
      </w:r>
    </w:p>
    <w:p w:rsidR="007A3373" w:rsidRPr="0086696A" w:rsidRDefault="007A3373" w:rsidP="000C2622">
      <w:pPr>
        <w:pStyle w:val="revuetexte"/>
        <w:spacing w:after="60"/>
        <w:ind w:left="170"/>
        <w:jc w:val="both"/>
        <w:rPr>
          <w:rFonts w:ascii="Calibri" w:hAnsi="Calibri"/>
          <w:color w:val="002060"/>
          <w:sz w:val="20"/>
          <w:szCs w:val="20"/>
        </w:rPr>
      </w:pPr>
      <w:r w:rsidRPr="0086696A">
        <w:rPr>
          <w:rFonts w:ascii="Calibri" w:hAnsi="Calibri"/>
          <w:color w:val="002060"/>
          <w:sz w:val="20"/>
          <w:szCs w:val="20"/>
        </w:rPr>
        <w:t>Ce dernier point est particulièrement intéressant pour traiter un grand nombre de clients en l'absence d'un contrat d'assurance-crédit ou d'affacturage, ainsi que pour qualifier les fichiers clients et prospects en y associant une limite de crédit et un mode de paiement. Un fichier intégralement coté permet de suivre l'évolution de la qualité du portefeuille clients et d'anticiper l'évolution de la rotation du poste clients.</w:t>
      </w:r>
    </w:p>
    <w:p w:rsidR="007A3373" w:rsidRPr="0086696A" w:rsidRDefault="00791D72" w:rsidP="000C2622">
      <w:pPr>
        <w:pStyle w:val="revuetexte"/>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3B05EB6" wp14:editId="702E2ECD">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C</w:t>
      </w:r>
      <w:r w:rsidR="007A3373" w:rsidRPr="0086696A">
        <w:rPr>
          <w:rStyle w:val="lev"/>
          <w:rFonts w:ascii="Calibri" w:hAnsi="Calibri"/>
          <w:color w:val="002060"/>
          <w:sz w:val="20"/>
          <w:szCs w:val="20"/>
        </w:rPr>
        <w:t>ertains prestataires se sont spécialisés sur du renseignement à haute valeur ajoutée ou sur des secteurs d'activités spécifiques</w:t>
      </w:r>
      <w:r w:rsidR="007A3373" w:rsidRPr="0086696A">
        <w:rPr>
          <w:rFonts w:ascii="Calibri" w:hAnsi="Calibri"/>
          <w:color w:val="002060"/>
          <w:sz w:val="20"/>
          <w:szCs w:val="20"/>
        </w:rPr>
        <w:t xml:space="preserve">. Ces sociétés orientent généralement leurs études pour répondre à des attentes précises : par exemple, sur la stratégie d'une entreprise, sur des projets, sur une évolution de l'activité, sur ses sources de financement... Les enquêteurs traitent les demandes avec beaucoup d'attention, utilisent leur réseau d'informateurs et mettent à profit leur expertise. </w:t>
      </w:r>
    </w:p>
    <w:p w:rsidR="007A3373" w:rsidRPr="0086696A" w:rsidRDefault="00791D72" w:rsidP="000C2622">
      <w:pPr>
        <w:pStyle w:val="revuetexte"/>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3B05EB6" wp14:editId="702E2ECD">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Ces prestataires offrent des plates-formes de communication plutôt performantes </w:t>
      </w:r>
      <w:r w:rsidR="007A3373" w:rsidRPr="0086696A">
        <w:rPr>
          <w:rFonts w:ascii="Calibri" w:hAnsi="Calibri"/>
          <w:color w:val="002060"/>
          <w:sz w:val="20"/>
          <w:szCs w:val="20"/>
        </w:rPr>
        <w:t xml:space="preserve">pour faire les consultations de cotations, les demandes d'enquêtes, les surveillances, ou bien pour gérer toutes les enquêtes </w:t>
      </w:r>
      <w:proofErr w:type="spellStart"/>
      <w:r w:rsidR="007A3373" w:rsidRPr="0086696A">
        <w:rPr>
          <w:rFonts w:ascii="Calibri" w:hAnsi="Calibri"/>
          <w:color w:val="002060"/>
          <w:sz w:val="20"/>
          <w:szCs w:val="20"/>
        </w:rPr>
        <w:t>historisées</w:t>
      </w:r>
      <w:proofErr w:type="spellEnd"/>
      <w:r w:rsidR="007A3373" w:rsidRPr="0086696A">
        <w:rPr>
          <w:rFonts w:ascii="Calibri" w:hAnsi="Calibri"/>
          <w:color w:val="002060"/>
          <w:sz w:val="20"/>
          <w:szCs w:val="20"/>
        </w:rPr>
        <w:t xml:space="preserve">. </w:t>
      </w:r>
    </w:p>
    <w:p w:rsidR="007A3373" w:rsidRPr="0086696A" w:rsidRDefault="007A3373" w:rsidP="000C2622">
      <w:pPr>
        <w:pStyle w:val="revuetexte"/>
        <w:spacing w:after="60"/>
        <w:ind w:left="170"/>
        <w:jc w:val="both"/>
        <w:rPr>
          <w:rFonts w:ascii="Calibri" w:hAnsi="Calibri"/>
          <w:color w:val="002060"/>
          <w:sz w:val="20"/>
          <w:szCs w:val="20"/>
        </w:rPr>
      </w:pPr>
      <w:r w:rsidRPr="0086696A">
        <w:rPr>
          <w:rFonts w:ascii="Calibri" w:hAnsi="Calibri"/>
          <w:color w:val="002060"/>
          <w:sz w:val="20"/>
          <w:szCs w:val="20"/>
        </w:rPr>
        <w:t>Certaines sociétés de renseignement proposent l'envoi de données structurées pour assurer la mise à jour automatique des logiciels de cr</w:t>
      </w:r>
      <w:r w:rsidR="00643B5C" w:rsidRPr="0086696A">
        <w:rPr>
          <w:rFonts w:ascii="Calibri" w:hAnsi="Calibri"/>
          <w:color w:val="002060"/>
          <w:sz w:val="20"/>
          <w:szCs w:val="20"/>
        </w:rPr>
        <w:t>é</w:t>
      </w:r>
      <w:r w:rsidRPr="0086696A">
        <w:rPr>
          <w:rFonts w:ascii="Calibri" w:hAnsi="Calibri"/>
          <w:color w:val="002060"/>
          <w:sz w:val="20"/>
          <w:szCs w:val="20"/>
        </w:rPr>
        <w:t>dit management ou des fiches clients.</w:t>
      </w:r>
    </w:p>
    <w:p w:rsidR="007A3373" w:rsidRPr="0086696A" w:rsidRDefault="007A3373" w:rsidP="000C2622">
      <w:pPr>
        <w:pStyle w:val="revuetexte"/>
        <w:spacing w:after="120"/>
        <w:ind w:left="170"/>
        <w:jc w:val="both"/>
        <w:rPr>
          <w:rFonts w:ascii="Calibri" w:hAnsi="Calibri"/>
          <w:color w:val="002060"/>
          <w:sz w:val="20"/>
          <w:szCs w:val="20"/>
        </w:rPr>
      </w:pPr>
      <w:r w:rsidRPr="0086696A">
        <w:rPr>
          <w:rFonts w:ascii="Calibri" w:hAnsi="Calibri"/>
          <w:color w:val="002060"/>
          <w:sz w:val="20"/>
          <w:szCs w:val="20"/>
        </w:rPr>
        <w:t xml:space="preserve">Quelques-unes d'entre elles proposent des bases de données financières : comptes sociaux, tableaux d'analyse financière, ratios, personnalisation, </w:t>
      </w:r>
      <w:proofErr w:type="spellStart"/>
      <w:r w:rsidRPr="0086696A">
        <w:rPr>
          <w:rFonts w:ascii="Calibri" w:hAnsi="Calibri"/>
          <w:color w:val="002060"/>
          <w:sz w:val="20"/>
          <w:szCs w:val="20"/>
        </w:rPr>
        <w:t>organigroupe</w:t>
      </w:r>
      <w:proofErr w:type="spellEnd"/>
      <w:r w:rsidRPr="0086696A">
        <w:rPr>
          <w:rFonts w:ascii="Calibri" w:hAnsi="Calibri"/>
          <w:color w:val="002060"/>
          <w:sz w:val="20"/>
          <w:szCs w:val="20"/>
        </w:rPr>
        <w:t>... Le rapprochement avec les bases clients et prospects, voire fournisseurs, est alors simplifié.</w:t>
      </w:r>
    </w:p>
    <w:p w:rsidR="007A3373" w:rsidRPr="00DB7C7E" w:rsidRDefault="007A3373" w:rsidP="000C2622">
      <w:pPr>
        <w:pStyle w:val="revuetexte"/>
        <w:spacing w:after="60"/>
        <w:ind w:left="0"/>
        <w:jc w:val="both"/>
        <w:rPr>
          <w:rFonts w:ascii="Calibri" w:hAnsi="Calibri"/>
          <w:color w:val="002060"/>
          <w:sz w:val="21"/>
          <w:szCs w:val="21"/>
        </w:rPr>
      </w:pPr>
      <w:r w:rsidRPr="00DB7C7E">
        <w:rPr>
          <w:rStyle w:val="lev"/>
          <w:rFonts w:ascii="Calibri" w:hAnsi="Calibri"/>
          <w:color w:val="002060"/>
          <w:sz w:val="21"/>
          <w:szCs w:val="21"/>
        </w:rPr>
        <w:t xml:space="preserve">L'information légale collectée auprès des greffes </w:t>
      </w:r>
    </w:p>
    <w:p w:rsidR="007A3373" w:rsidRPr="0086696A" w:rsidRDefault="007A3373" w:rsidP="00814AB6">
      <w:pPr>
        <w:pStyle w:val="revuetexte"/>
        <w:spacing w:after="0"/>
        <w:ind w:left="0"/>
        <w:jc w:val="both"/>
        <w:rPr>
          <w:rFonts w:ascii="Calibri" w:hAnsi="Calibri"/>
          <w:color w:val="002060"/>
          <w:sz w:val="20"/>
          <w:szCs w:val="20"/>
        </w:rPr>
      </w:pPr>
      <w:r w:rsidRPr="0086696A">
        <w:rPr>
          <w:rFonts w:ascii="Calibri" w:hAnsi="Calibri"/>
          <w:color w:val="002060"/>
          <w:sz w:val="20"/>
          <w:szCs w:val="20"/>
        </w:rPr>
        <w:t xml:space="preserve">L'information officielle collectée auprès des greffes des tribunaux de commerce est généralement reprise pour tout ou partie par les sociétés de renseignement commercial, les assureurs-crédit et les </w:t>
      </w:r>
      <w:proofErr w:type="spellStart"/>
      <w:r w:rsidRPr="0086696A">
        <w:rPr>
          <w:rFonts w:ascii="Calibri" w:hAnsi="Calibri"/>
          <w:color w:val="002060"/>
          <w:sz w:val="20"/>
          <w:szCs w:val="20"/>
        </w:rPr>
        <w:t>factors</w:t>
      </w:r>
      <w:proofErr w:type="spellEnd"/>
      <w:r w:rsidRPr="0086696A">
        <w:rPr>
          <w:rFonts w:ascii="Calibri" w:hAnsi="Calibri"/>
          <w:color w:val="002060"/>
          <w:sz w:val="20"/>
          <w:szCs w:val="20"/>
        </w:rPr>
        <w:t xml:space="preserve"> dans les cotations ou les agréments qu'ils délivrent. </w:t>
      </w:r>
    </w:p>
    <w:p w:rsidR="007A3373" w:rsidRDefault="001010F2" w:rsidP="000B1C28">
      <w:pPr>
        <w:pStyle w:val="revuetexte"/>
        <w:spacing w:after="60"/>
        <w:ind w:left="0"/>
        <w:jc w:val="both"/>
        <w:rPr>
          <w:rFonts w:ascii="Calibri" w:hAnsi="Calibri"/>
          <w:color w:val="002060"/>
          <w:sz w:val="20"/>
          <w:szCs w:val="20"/>
        </w:rPr>
      </w:pPr>
      <w:r w:rsidRPr="0086696A">
        <w:rPr>
          <w:rFonts w:ascii="Calibri" w:hAnsi="Calibri"/>
          <w:color w:val="002060"/>
          <w:sz w:val="20"/>
          <w:szCs w:val="20"/>
        </w:rPr>
        <w:t>Info greffe</w:t>
      </w:r>
      <w:r w:rsidR="007A3373" w:rsidRPr="0086696A">
        <w:rPr>
          <w:rFonts w:ascii="Calibri" w:hAnsi="Calibri"/>
          <w:color w:val="002060"/>
          <w:sz w:val="20"/>
          <w:szCs w:val="20"/>
        </w:rPr>
        <w:t xml:space="preserve"> centralise l'information légale sur les entreprises et la met à disposition des utilisateurs </w:t>
      </w:r>
      <w:r w:rsidR="000C2622">
        <w:rPr>
          <w:rFonts w:ascii="Calibri" w:hAnsi="Calibri"/>
          <w:color w:val="002060"/>
          <w:sz w:val="20"/>
          <w:szCs w:val="20"/>
        </w:rPr>
        <w:t>sur «www.infogreffe.com</w:t>
      </w:r>
      <w:r w:rsidR="007A3373" w:rsidRPr="0086696A">
        <w:rPr>
          <w:rFonts w:ascii="Calibri" w:hAnsi="Calibri"/>
          <w:color w:val="002060"/>
          <w:sz w:val="20"/>
          <w:szCs w:val="20"/>
        </w:rPr>
        <w:t xml:space="preserve">». Avec ou sans abonnement, toute l'information publiée est disponible en ligne. </w:t>
      </w:r>
    </w:p>
    <w:p w:rsidR="007A3373" w:rsidRPr="0086696A" w:rsidRDefault="00791D72" w:rsidP="00791D72">
      <w:pPr>
        <w:pStyle w:val="revuetexte"/>
        <w:spacing w:after="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E173BA" wp14:editId="4D21B0F6">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Généralement, la consultation consiste à récupérer l'extrait KBIS </w:t>
      </w:r>
      <w:r w:rsidR="007A3373" w:rsidRPr="0086696A">
        <w:rPr>
          <w:rFonts w:ascii="Calibri" w:hAnsi="Calibri"/>
          <w:color w:val="002060"/>
          <w:sz w:val="20"/>
          <w:szCs w:val="20"/>
        </w:rPr>
        <w:t>de la société, à vérifier l'état des inscriptions de privilèges et l'état des procédures collectives.</w:t>
      </w:r>
    </w:p>
    <w:p w:rsidR="007A3373" w:rsidRPr="0086696A" w:rsidRDefault="007A3373" w:rsidP="000C2622">
      <w:pPr>
        <w:pStyle w:val="revuetexte"/>
        <w:spacing w:after="60"/>
        <w:ind w:left="170"/>
        <w:jc w:val="both"/>
        <w:rPr>
          <w:rFonts w:ascii="Calibri" w:hAnsi="Calibri"/>
          <w:color w:val="002060"/>
          <w:sz w:val="20"/>
          <w:szCs w:val="20"/>
        </w:rPr>
      </w:pPr>
      <w:r w:rsidRPr="0086696A">
        <w:rPr>
          <w:rFonts w:ascii="Calibri" w:hAnsi="Calibri"/>
          <w:color w:val="002060"/>
          <w:sz w:val="20"/>
          <w:szCs w:val="20"/>
        </w:rPr>
        <w:t xml:space="preserve">Ces informations seront intéressantes pour associer à chaque compte client ou prospect le numéro </w:t>
      </w:r>
      <w:proofErr w:type="spellStart"/>
      <w:r w:rsidRPr="0086696A">
        <w:rPr>
          <w:rFonts w:ascii="Calibri" w:hAnsi="Calibri"/>
          <w:color w:val="002060"/>
          <w:sz w:val="20"/>
          <w:szCs w:val="20"/>
        </w:rPr>
        <w:t>Siren</w:t>
      </w:r>
      <w:proofErr w:type="spellEnd"/>
      <w:r w:rsidRPr="0086696A">
        <w:rPr>
          <w:rFonts w:ascii="Calibri" w:hAnsi="Calibri"/>
          <w:color w:val="002060"/>
          <w:sz w:val="20"/>
          <w:szCs w:val="20"/>
        </w:rPr>
        <w:t xml:space="preserve"> correspondant au nom de la société, codifier la fiche client de l'adresse du siège social, de la forme juridique, du nom du représentant légal, du code activité NAF (parfois également du montant du capital social, de la date de création de l'entreprise...).</w:t>
      </w:r>
    </w:p>
    <w:p w:rsidR="007A3373" w:rsidRPr="0086696A" w:rsidRDefault="00791D72" w:rsidP="00791D72">
      <w:pPr>
        <w:pStyle w:val="revuetexte"/>
        <w:spacing w:after="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E173BA" wp14:editId="4D21B0F6">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L'état des inscriptions de privilèges est important, </w:t>
      </w:r>
      <w:r w:rsidR="007A3373" w:rsidRPr="0086696A">
        <w:rPr>
          <w:rFonts w:ascii="Calibri" w:hAnsi="Calibri"/>
          <w:color w:val="002060"/>
          <w:sz w:val="20"/>
          <w:szCs w:val="20"/>
        </w:rPr>
        <w:t>car il permet de s'assurer que le  client/prospect est à jour dans le paiement de ses dettes fiscales et sociales.</w:t>
      </w:r>
    </w:p>
    <w:p w:rsidR="007A3373" w:rsidRPr="0086696A" w:rsidRDefault="007A3373" w:rsidP="000C2622">
      <w:pPr>
        <w:pStyle w:val="revuetexte"/>
        <w:spacing w:after="120"/>
        <w:ind w:left="170"/>
        <w:jc w:val="both"/>
        <w:rPr>
          <w:rFonts w:ascii="Calibri" w:hAnsi="Calibri"/>
          <w:color w:val="002060"/>
          <w:sz w:val="20"/>
          <w:szCs w:val="20"/>
        </w:rPr>
      </w:pPr>
      <w:r w:rsidRPr="0086696A">
        <w:rPr>
          <w:rFonts w:ascii="Calibri" w:hAnsi="Calibri"/>
          <w:color w:val="002060"/>
          <w:sz w:val="20"/>
          <w:szCs w:val="20"/>
        </w:rPr>
        <w:lastRenderedPageBreak/>
        <w:t>L'accumulation de privilèges doit amener à se poser des questions sur la solvabilité de l'entreprise et sur le risque d'assignation en redressement ou en liquidation judiciaires à court terme par l'un des débiteurs concernés.</w:t>
      </w:r>
    </w:p>
    <w:p w:rsidR="007A3373" w:rsidRPr="0086696A" w:rsidRDefault="007A3373" w:rsidP="000C2622">
      <w:pPr>
        <w:pStyle w:val="revuetexte"/>
        <w:ind w:left="170"/>
        <w:jc w:val="both"/>
        <w:rPr>
          <w:rFonts w:ascii="Calibri" w:hAnsi="Calibri"/>
          <w:color w:val="002060"/>
          <w:sz w:val="20"/>
          <w:szCs w:val="20"/>
        </w:rPr>
      </w:pPr>
      <w:r w:rsidRPr="0086696A">
        <w:rPr>
          <w:rFonts w:ascii="Calibri" w:hAnsi="Calibri"/>
          <w:color w:val="002060"/>
          <w:sz w:val="20"/>
          <w:szCs w:val="20"/>
        </w:rPr>
        <w:t xml:space="preserve">Regrettons toutefois que les conditions de publicité soient devenues beaucoup moins contraignantes et que, dans des cas assez nombreux, il n'y ait plus d'information légale (relèvement des seuils de publicité des créances de l'URSSAF et du Trésor public, délai plus long avant l'inscription du privilège, non-inscription en cas de plan d'apurement de la </w:t>
      </w:r>
      <w:r w:rsidR="001010F2" w:rsidRPr="0086696A">
        <w:rPr>
          <w:rFonts w:ascii="Calibri" w:hAnsi="Calibri"/>
          <w:color w:val="002060"/>
          <w:sz w:val="20"/>
          <w:szCs w:val="20"/>
        </w:rPr>
        <w:t xml:space="preserve">dette ; </w:t>
      </w:r>
    </w:p>
    <w:p w:rsidR="007A3373" w:rsidRPr="0086696A" w:rsidRDefault="00791D72" w:rsidP="000C2622">
      <w:pPr>
        <w:pStyle w:val="revuetexte"/>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E173BA" wp14:editId="4D21B0F6">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L'état des procédures collectives est utile </w:t>
      </w:r>
      <w:r w:rsidR="007A3373" w:rsidRPr="0086696A">
        <w:rPr>
          <w:rFonts w:ascii="Calibri" w:hAnsi="Calibri"/>
          <w:color w:val="002060"/>
          <w:sz w:val="20"/>
          <w:szCs w:val="20"/>
        </w:rPr>
        <w:t xml:space="preserve">pour s'assurer que l'entreprise n'est pas en procédure de sauvegarde, de redressement ou de liquidation judiciaire. À défaut de contrôle ou si le numéro </w:t>
      </w:r>
      <w:proofErr w:type="spellStart"/>
      <w:r w:rsidR="007A3373" w:rsidRPr="0086696A">
        <w:rPr>
          <w:rFonts w:ascii="Calibri" w:hAnsi="Calibri"/>
          <w:color w:val="002060"/>
          <w:sz w:val="20"/>
          <w:szCs w:val="20"/>
        </w:rPr>
        <w:t>Siren</w:t>
      </w:r>
      <w:proofErr w:type="spellEnd"/>
      <w:r w:rsidR="007A3373" w:rsidRPr="0086696A">
        <w:rPr>
          <w:rFonts w:ascii="Calibri" w:hAnsi="Calibri"/>
          <w:color w:val="002060"/>
          <w:sz w:val="20"/>
          <w:szCs w:val="20"/>
        </w:rPr>
        <w:t xml:space="preserve"> renseigné est erroné, un fournisseur peut être conduit à facturer et à livrer une société liquidée et radiée, c'est-à-dire sans existence juridique. Une société sous sauvegarde ou sous redressement judiciaire, même si la procédure est ancienne et si el</w:t>
      </w:r>
      <w:r w:rsidR="000C2622">
        <w:rPr>
          <w:rFonts w:ascii="Calibri" w:hAnsi="Calibri"/>
          <w:color w:val="002060"/>
          <w:sz w:val="20"/>
          <w:szCs w:val="20"/>
        </w:rPr>
        <w:t xml:space="preserve">le est profitable, obtient très </w:t>
      </w:r>
      <w:r w:rsidR="007A3373" w:rsidRPr="0086696A">
        <w:rPr>
          <w:rFonts w:ascii="Calibri" w:hAnsi="Calibri"/>
          <w:color w:val="002060"/>
          <w:sz w:val="20"/>
          <w:szCs w:val="20"/>
        </w:rPr>
        <w:t>difficilement les crédits bancaires et fournisseurs.</w:t>
      </w:r>
    </w:p>
    <w:p w:rsidR="000C2622" w:rsidRDefault="00791D72" w:rsidP="000C2622">
      <w:pPr>
        <w:pStyle w:val="revuetexte"/>
        <w:spacing w:after="12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E173BA" wp14:editId="4D21B0F6">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Une option très intéressante est la surveillance qui permet de mettre sous contrôle une entreprise </w:t>
      </w:r>
      <w:r w:rsidR="007A3373" w:rsidRPr="0086696A">
        <w:rPr>
          <w:rFonts w:ascii="Calibri" w:hAnsi="Calibri"/>
          <w:color w:val="002060"/>
          <w:sz w:val="20"/>
          <w:szCs w:val="20"/>
        </w:rPr>
        <w:t xml:space="preserve">et d'être informé par mail ou par SMS de toutes les nouvelles informations légales. </w:t>
      </w:r>
    </w:p>
    <w:p w:rsidR="000C2622" w:rsidRPr="0086696A" w:rsidRDefault="000C2622" w:rsidP="000C2622">
      <w:pPr>
        <w:pStyle w:val="revuetexte"/>
        <w:spacing w:after="0"/>
        <w:ind w:left="170"/>
        <w:jc w:val="both"/>
        <w:rPr>
          <w:rFonts w:ascii="Calibri" w:hAnsi="Calibri"/>
          <w:color w:val="002060"/>
          <w:sz w:val="20"/>
          <w:szCs w:val="20"/>
        </w:rPr>
      </w:pPr>
      <w:r w:rsidRPr="0086696A">
        <w:rPr>
          <w:rFonts w:ascii="Calibri" w:hAnsi="Calibri"/>
          <w:color w:val="002060"/>
          <w:sz w:val="20"/>
          <w:szCs w:val="20"/>
        </w:rPr>
        <w:t>En l'absence de contrat d'assurance-crédit ou d'affacturage, et de contrat de renseignement commercial, la consultation d'</w:t>
      </w:r>
      <w:proofErr w:type="spellStart"/>
      <w:r w:rsidRPr="0086696A">
        <w:rPr>
          <w:rFonts w:ascii="Calibri" w:hAnsi="Calibri"/>
          <w:color w:val="002060"/>
          <w:sz w:val="20"/>
          <w:szCs w:val="20"/>
        </w:rPr>
        <w:t>Infogreffe</w:t>
      </w:r>
      <w:proofErr w:type="spellEnd"/>
      <w:r w:rsidRPr="0086696A">
        <w:rPr>
          <w:rFonts w:ascii="Calibri" w:hAnsi="Calibri"/>
          <w:color w:val="002060"/>
          <w:sz w:val="20"/>
          <w:szCs w:val="20"/>
        </w:rPr>
        <w:t xml:space="preserve"> semble incontournable. Sa limite est que seule l'information sur les entreprises rattachées aux greffes des tribunaux de commerce français est disponible. </w:t>
      </w:r>
    </w:p>
    <w:p w:rsidR="000C2622" w:rsidRDefault="000C2622" w:rsidP="000C2622">
      <w:pPr>
        <w:pStyle w:val="revuetexte"/>
        <w:spacing w:after="120"/>
        <w:ind w:left="170"/>
        <w:jc w:val="both"/>
        <w:rPr>
          <w:rFonts w:ascii="Calibri" w:hAnsi="Calibri"/>
          <w:color w:val="002060"/>
          <w:sz w:val="20"/>
          <w:szCs w:val="20"/>
        </w:rPr>
      </w:pPr>
      <w:r w:rsidRPr="0086696A">
        <w:rPr>
          <w:rFonts w:ascii="Calibri" w:hAnsi="Calibri"/>
          <w:color w:val="002060"/>
          <w:sz w:val="20"/>
          <w:szCs w:val="20"/>
        </w:rPr>
        <w:t>Par ailleurs, les comptes sociaux, bien que soumis à une obligation de dépôt, ne sont pas toujours publiés</w:t>
      </w:r>
    </w:p>
    <w:p w:rsidR="007A3373" w:rsidRPr="00DB7C7E" w:rsidRDefault="007A3373" w:rsidP="000B1C28">
      <w:pPr>
        <w:pStyle w:val="revuetexte"/>
        <w:spacing w:after="60"/>
        <w:ind w:left="0"/>
        <w:jc w:val="both"/>
        <w:rPr>
          <w:rFonts w:ascii="Calibri" w:hAnsi="Calibri"/>
          <w:color w:val="002060"/>
          <w:sz w:val="21"/>
          <w:szCs w:val="21"/>
        </w:rPr>
      </w:pPr>
      <w:r w:rsidRPr="00DB7C7E">
        <w:rPr>
          <w:rStyle w:val="lev"/>
          <w:rFonts w:ascii="Calibri" w:hAnsi="Calibri"/>
          <w:color w:val="002060"/>
          <w:sz w:val="21"/>
          <w:szCs w:val="21"/>
        </w:rPr>
        <w:t xml:space="preserve">L'information interne </w:t>
      </w:r>
    </w:p>
    <w:p w:rsidR="007A3373" w:rsidRPr="0086696A" w:rsidRDefault="007A3373" w:rsidP="00791D72">
      <w:pPr>
        <w:pStyle w:val="revuetexte"/>
        <w:spacing w:after="60"/>
        <w:ind w:left="0"/>
        <w:jc w:val="both"/>
        <w:rPr>
          <w:rFonts w:ascii="Calibri" w:hAnsi="Calibri"/>
          <w:color w:val="002060"/>
          <w:sz w:val="20"/>
          <w:szCs w:val="20"/>
        </w:rPr>
      </w:pPr>
      <w:r w:rsidRPr="0086696A">
        <w:rPr>
          <w:rStyle w:val="lev"/>
          <w:rFonts w:ascii="Calibri" w:hAnsi="Calibri"/>
          <w:color w:val="002060"/>
          <w:sz w:val="20"/>
          <w:szCs w:val="20"/>
        </w:rPr>
        <w:t>Le renseignement légal et le renseignement commercial doivent être complétés,</w:t>
      </w:r>
      <w:r w:rsidRPr="0086696A">
        <w:rPr>
          <w:rFonts w:ascii="Calibri" w:hAnsi="Calibri"/>
          <w:color w:val="002060"/>
          <w:sz w:val="20"/>
          <w:szCs w:val="20"/>
        </w:rPr>
        <w:t xml:space="preserve"> pour que l'information soit efficace et utile à la prise de décision, par l'information interne.</w:t>
      </w:r>
    </w:p>
    <w:p w:rsidR="007A3373" w:rsidRPr="0086696A" w:rsidRDefault="007A3373" w:rsidP="00791D72">
      <w:pPr>
        <w:pStyle w:val="revuetexte"/>
        <w:spacing w:after="60"/>
        <w:ind w:left="0"/>
        <w:jc w:val="both"/>
        <w:rPr>
          <w:rFonts w:ascii="Calibri" w:hAnsi="Calibri"/>
          <w:color w:val="002060"/>
          <w:sz w:val="20"/>
          <w:szCs w:val="20"/>
        </w:rPr>
      </w:pPr>
      <w:r w:rsidRPr="0086696A">
        <w:rPr>
          <w:rFonts w:ascii="Calibri" w:hAnsi="Calibri"/>
          <w:color w:val="002060"/>
          <w:sz w:val="20"/>
          <w:szCs w:val="20"/>
        </w:rPr>
        <w:t>En effet, certaines sociétés ne déposent pas leurs comptes sociaux aux greffes des tribunaux de commerce et refusent de communiquer avec les sociétés de renseignement, ou bien les informations communiquées par les tiers peuvent ne pas avoir été mises à jour récemment...</w:t>
      </w:r>
    </w:p>
    <w:p w:rsidR="007A3373" w:rsidRPr="0086696A" w:rsidRDefault="007A3373" w:rsidP="00791D72">
      <w:pPr>
        <w:pStyle w:val="revuetexte"/>
        <w:spacing w:after="60"/>
        <w:ind w:left="0"/>
        <w:jc w:val="both"/>
        <w:rPr>
          <w:rFonts w:ascii="Calibri" w:hAnsi="Calibri"/>
          <w:color w:val="002060"/>
          <w:sz w:val="20"/>
          <w:szCs w:val="20"/>
        </w:rPr>
      </w:pPr>
      <w:r w:rsidRPr="0086696A">
        <w:rPr>
          <w:rFonts w:ascii="Calibri" w:hAnsi="Calibri"/>
          <w:color w:val="002060"/>
          <w:sz w:val="20"/>
          <w:szCs w:val="20"/>
        </w:rPr>
        <w:t>Les encours recommandés ne sont pas assurés sur le risque d'impayés et peuvent nécessiter des retraitements.</w:t>
      </w:r>
    </w:p>
    <w:p w:rsidR="007A3373" w:rsidRPr="0086696A" w:rsidRDefault="007A3373" w:rsidP="00791D72">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Il est fréquent que le renseignement légal et le renseignement commercial, sans que soient mises en cause la qualité de l'information ni son analyse, ne fassent pas ressortir suffisamment qu'une entreprise est performante ou qu'elle est exposée à des difficultés. La zone d'incertitude est même assez large et nécessite des compléments d'informations. </w:t>
      </w:r>
    </w:p>
    <w:p w:rsidR="007A3373" w:rsidRPr="0086696A" w:rsidRDefault="007A3373" w:rsidP="00791D72">
      <w:pPr>
        <w:pStyle w:val="revuetexte"/>
        <w:spacing w:after="60"/>
        <w:ind w:left="0"/>
        <w:jc w:val="both"/>
        <w:rPr>
          <w:rFonts w:ascii="Calibri" w:hAnsi="Calibri"/>
          <w:color w:val="002060"/>
          <w:sz w:val="20"/>
          <w:szCs w:val="20"/>
        </w:rPr>
      </w:pPr>
      <w:r w:rsidRPr="0086696A">
        <w:rPr>
          <w:rFonts w:ascii="Calibri" w:hAnsi="Calibri"/>
          <w:color w:val="002060"/>
          <w:sz w:val="20"/>
          <w:szCs w:val="20"/>
        </w:rPr>
        <w:t>C'est le cas, par exemple, d'entreprises décotées parce qu'elles sont sur des secteurs fragilisés, alors même qu'elles ne présentent pas de signes d'insolvabilité. L'information interne sera alors utile pour donner un autre éclairage et arbitrer les positions crédit.</w:t>
      </w:r>
    </w:p>
    <w:p w:rsidR="007A3373" w:rsidRPr="0086696A" w:rsidRDefault="007A3373" w:rsidP="000C2622">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L'information interne a plusieurs sources que nous détaillons ci-dessous. </w:t>
      </w:r>
    </w:p>
    <w:p w:rsidR="00DB7C7E" w:rsidRDefault="0099584A" w:rsidP="00DB7C7E">
      <w:pPr>
        <w:pStyle w:val="revuetexte"/>
        <w:spacing w:after="0"/>
        <w:ind w:left="340" w:hanging="340"/>
        <w:jc w:val="both"/>
        <w:rPr>
          <w:rFonts w:ascii="Calibri" w:hAnsi="Calibri"/>
          <w:color w:val="002060"/>
          <w:sz w:val="20"/>
          <w:szCs w:val="20"/>
        </w:rPr>
      </w:pPr>
      <w:r w:rsidRPr="00791D72">
        <w:rPr>
          <w:rStyle w:val="lev"/>
          <w:rFonts w:ascii="Calibri" w:hAnsi="Calibri"/>
          <w:color w:val="002060"/>
          <w:sz w:val="21"/>
          <w:szCs w:val="21"/>
        </w:rPr>
        <w:t xml:space="preserve">1. </w:t>
      </w:r>
      <w:r w:rsidR="007A3373" w:rsidRPr="00DB7C7E">
        <w:rPr>
          <w:rStyle w:val="lev"/>
          <w:rFonts w:ascii="Calibri" w:hAnsi="Calibri"/>
          <w:color w:val="002060"/>
          <w:sz w:val="20"/>
          <w:szCs w:val="21"/>
        </w:rPr>
        <w:t>Le système d'informations</w:t>
      </w:r>
      <w:r w:rsidR="007A3373" w:rsidRPr="0086696A">
        <w:rPr>
          <w:rFonts w:ascii="Calibri" w:hAnsi="Calibri"/>
          <w:color w:val="002060"/>
          <w:sz w:val="20"/>
          <w:szCs w:val="20"/>
        </w:rPr>
        <w:t xml:space="preserve">. </w:t>
      </w:r>
    </w:p>
    <w:p w:rsidR="007A3373" w:rsidRPr="0086696A" w:rsidRDefault="00DB7C7E" w:rsidP="00DB7C7E">
      <w:pPr>
        <w:pStyle w:val="revuetexte"/>
        <w:spacing w:after="60"/>
        <w:ind w:left="340" w:hanging="170"/>
        <w:jc w:val="both"/>
        <w:rPr>
          <w:rFonts w:ascii="Calibri" w:hAnsi="Calibri"/>
          <w:color w:val="002060"/>
          <w:sz w:val="20"/>
          <w:szCs w:val="20"/>
        </w:rPr>
      </w:pPr>
      <w:r>
        <w:rPr>
          <w:rFonts w:ascii="Calibri" w:hAnsi="Calibri"/>
          <w:color w:val="002060"/>
          <w:sz w:val="20"/>
          <w:szCs w:val="20"/>
        </w:rPr>
        <w:t xml:space="preserve"> </w:t>
      </w:r>
      <w:r w:rsidR="007A3373" w:rsidRPr="0086696A">
        <w:rPr>
          <w:rFonts w:ascii="Calibri" w:hAnsi="Calibri"/>
          <w:color w:val="002060"/>
          <w:sz w:val="20"/>
          <w:szCs w:val="20"/>
        </w:rPr>
        <w:t>L'étude de l'historique des relations permet d'appréhender leur évolution de la façon suivante.</w:t>
      </w:r>
    </w:p>
    <w:p w:rsidR="00791D72" w:rsidRDefault="00DB7C7E" w:rsidP="003B0601">
      <w:pPr>
        <w:pStyle w:val="revuetexte"/>
        <w:spacing w:after="0"/>
        <w:ind w:left="340" w:hanging="170"/>
        <w:jc w:val="both"/>
        <w:rPr>
          <w:rFonts w:ascii="Calibri" w:hAnsi="Calibri"/>
          <w:color w:val="002060"/>
          <w:sz w:val="20"/>
          <w:szCs w:val="20"/>
        </w:rPr>
      </w:pPr>
      <w:r>
        <w:pict>
          <v:shape id="_x0000_i1026" type="#_x0000_t75" alt="triangle" style="width:9pt;height:7.5pt;visibility:visible;mso-wrap-style:square">
            <v:imagedata r:id="rId7" o:title="triangle"/>
          </v:shape>
        </w:pict>
      </w:r>
      <w:r w:rsidR="007A3373" w:rsidRPr="0086696A">
        <w:rPr>
          <w:rStyle w:val="lev"/>
          <w:rFonts w:ascii="Calibri" w:hAnsi="Calibri"/>
          <w:color w:val="002060"/>
          <w:sz w:val="20"/>
          <w:szCs w:val="20"/>
        </w:rPr>
        <w:t>Typologie client et date d'ouverture du compte</w:t>
      </w:r>
      <w:r w:rsidR="007A3373" w:rsidRPr="0086696A">
        <w:rPr>
          <w:rFonts w:ascii="Calibri" w:hAnsi="Calibri"/>
          <w:color w:val="002060"/>
          <w:sz w:val="20"/>
          <w:szCs w:val="20"/>
        </w:rPr>
        <w:t xml:space="preserve">. </w:t>
      </w:r>
    </w:p>
    <w:p w:rsidR="007A3373" w:rsidRPr="0086696A" w:rsidRDefault="007A3373" w:rsidP="003B0601">
      <w:pPr>
        <w:pStyle w:val="revuetexte"/>
        <w:spacing w:after="60"/>
        <w:ind w:left="340"/>
        <w:jc w:val="both"/>
        <w:rPr>
          <w:rFonts w:ascii="Calibri" w:hAnsi="Calibri"/>
          <w:color w:val="002060"/>
          <w:sz w:val="20"/>
          <w:szCs w:val="20"/>
        </w:rPr>
      </w:pPr>
      <w:r w:rsidRPr="0086696A">
        <w:rPr>
          <w:rFonts w:ascii="Calibri" w:hAnsi="Calibri"/>
          <w:color w:val="002060"/>
          <w:sz w:val="20"/>
          <w:szCs w:val="20"/>
        </w:rPr>
        <w:t>Un client historique traduit une confiance et une reconnaissance, un client stratégique ou utilisé comme référence nécessitera probablement un traitement adapté.</w:t>
      </w:r>
    </w:p>
    <w:p w:rsidR="00791D72" w:rsidRDefault="00DB7C7E" w:rsidP="003B0601">
      <w:pPr>
        <w:pStyle w:val="revuetexte"/>
        <w:spacing w:after="0"/>
        <w:ind w:left="340" w:hanging="170"/>
        <w:jc w:val="both"/>
        <w:rPr>
          <w:rFonts w:ascii="Calibri" w:hAnsi="Calibri"/>
          <w:color w:val="002060"/>
          <w:sz w:val="20"/>
          <w:szCs w:val="20"/>
        </w:rPr>
      </w:pPr>
      <w:r>
        <w:pict>
          <v:shape id="_x0000_i1027"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Données commerciales </w:t>
      </w:r>
      <w:r w:rsidR="007A3373" w:rsidRPr="0086696A">
        <w:rPr>
          <w:rFonts w:ascii="Calibri" w:hAnsi="Calibri"/>
          <w:color w:val="002060"/>
          <w:sz w:val="20"/>
          <w:szCs w:val="20"/>
        </w:rPr>
        <w:t>(évolution du chiffre d'affaires, des marges, fréquence des achats...). </w:t>
      </w:r>
    </w:p>
    <w:p w:rsidR="000C2622" w:rsidRDefault="007A3373" w:rsidP="003B0601">
      <w:pPr>
        <w:pStyle w:val="revuetexte"/>
        <w:spacing w:after="0"/>
        <w:ind w:left="340"/>
        <w:jc w:val="both"/>
        <w:rPr>
          <w:rFonts w:ascii="Calibri" w:hAnsi="Calibri"/>
          <w:color w:val="002060"/>
          <w:sz w:val="20"/>
          <w:szCs w:val="20"/>
        </w:rPr>
      </w:pPr>
      <w:r w:rsidRPr="0086696A">
        <w:rPr>
          <w:rFonts w:ascii="Calibri" w:hAnsi="Calibri"/>
          <w:color w:val="002060"/>
          <w:sz w:val="20"/>
          <w:szCs w:val="20"/>
        </w:rPr>
        <w:t>Un client est important par le chiffre d'affaires et son développement, la marge qu'il dégage et la régularité de ses commandes. Toute baisse significative mérite l'attention, ainsi qu'une augmentation subite des volumes commandés, car ils peuvent traduire un défaut de paiement ou un blocage de compte chez un concurrent.</w:t>
      </w:r>
    </w:p>
    <w:p w:rsidR="007A3373" w:rsidRPr="0086696A" w:rsidRDefault="007A3373" w:rsidP="003B0601">
      <w:pPr>
        <w:pStyle w:val="revuetexte"/>
        <w:spacing w:after="60"/>
        <w:ind w:left="340"/>
        <w:jc w:val="both"/>
        <w:rPr>
          <w:rFonts w:ascii="Calibri" w:hAnsi="Calibri"/>
          <w:color w:val="002060"/>
          <w:sz w:val="20"/>
          <w:szCs w:val="20"/>
        </w:rPr>
      </w:pPr>
      <w:r w:rsidRPr="0086696A">
        <w:rPr>
          <w:rFonts w:ascii="Calibri" w:hAnsi="Calibri"/>
          <w:color w:val="002060"/>
          <w:sz w:val="20"/>
          <w:szCs w:val="20"/>
        </w:rPr>
        <w:t>Certaines entreprises considèrent que si la marge est importante, le risque à moyen terme est neutralisé. Par exemple, pour des ventes mensuelles margées à 15 % (EBE) et un délai de paiement à 45 jours fin de mois, le risque est neutralisé au bout de 12 mois.</w:t>
      </w:r>
    </w:p>
    <w:p w:rsidR="00791D72" w:rsidRDefault="00DB7C7E" w:rsidP="003B0601">
      <w:pPr>
        <w:pStyle w:val="revuetexte"/>
        <w:spacing w:after="0"/>
        <w:ind w:left="340" w:hanging="170"/>
        <w:jc w:val="both"/>
        <w:rPr>
          <w:rFonts w:ascii="Calibri" w:hAnsi="Calibri"/>
          <w:color w:val="002060"/>
          <w:sz w:val="20"/>
          <w:szCs w:val="20"/>
        </w:rPr>
      </w:pPr>
      <w:r>
        <w:pict>
          <v:shape id="_x0000_i1028"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Comportements de paiement </w:t>
      </w:r>
      <w:r w:rsidR="007A3373" w:rsidRPr="0086696A">
        <w:rPr>
          <w:rFonts w:ascii="Calibri" w:hAnsi="Calibri"/>
          <w:color w:val="002060"/>
          <w:sz w:val="20"/>
          <w:szCs w:val="20"/>
        </w:rPr>
        <w:t xml:space="preserve">(respect des modes et des délais de paiement contractés, fréquence des litiges, nombre de relances, fréquence des impayés, blocages du compte, procédure contentieuse...). </w:t>
      </w:r>
    </w:p>
    <w:p w:rsidR="007A3373" w:rsidRPr="0086696A" w:rsidRDefault="007A3373" w:rsidP="003B0601">
      <w:pPr>
        <w:pStyle w:val="revuetexte"/>
        <w:spacing w:after="60"/>
        <w:ind w:left="340"/>
        <w:jc w:val="both"/>
        <w:rPr>
          <w:rFonts w:ascii="Calibri" w:hAnsi="Calibri"/>
          <w:color w:val="002060"/>
          <w:sz w:val="20"/>
          <w:szCs w:val="20"/>
        </w:rPr>
      </w:pPr>
      <w:r w:rsidRPr="0086696A">
        <w:rPr>
          <w:rFonts w:ascii="Calibri" w:hAnsi="Calibri"/>
          <w:color w:val="002060"/>
          <w:sz w:val="20"/>
          <w:szCs w:val="20"/>
        </w:rPr>
        <w:t xml:space="preserve">Un client vis-à-vis duquel aucun incident n'a été constaté sur les 12 derniers mois est dans une situation favorable à un assouplissement des conditions de crédit ; des incidents répétés ou significatifs doivent, en revanche, conduire à sécuriser les nouvelles ventes et à mettre en </w:t>
      </w:r>
      <w:r w:rsidR="00791D72" w:rsidRPr="0086696A">
        <w:rPr>
          <w:rFonts w:ascii="Calibri" w:hAnsi="Calibri"/>
          <w:color w:val="002060"/>
          <w:sz w:val="20"/>
          <w:szCs w:val="20"/>
        </w:rPr>
        <w:t>œuvre</w:t>
      </w:r>
      <w:r w:rsidRPr="0086696A">
        <w:rPr>
          <w:rFonts w:ascii="Calibri" w:hAnsi="Calibri"/>
          <w:color w:val="002060"/>
          <w:sz w:val="20"/>
          <w:szCs w:val="20"/>
        </w:rPr>
        <w:t xml:space="preserve"> une procédure de recouvrement adaptée aux factures déjà établies.</w:t>
      </w:r>
    </w:p>
    <w:p w:rsidR="007A3373" w:rsidRPr="0086696A" w:rsidRDefault="007A3373" w:rsidP="003B0601">
      <w:pPr>
        <w:pStyle w:val="revuetexte"/>
        <w:spacing w:after="120"/>
        <w:ind w:left="340"/>
        <w:jc w:val="both"/>
        <w:rPr>
          <w:rFonts w:ascii="Calibri" w:hAnsi="Calibri"/>
          <w:color w:val="002060"/>
          <w:sz w:val="20"/>
          <w:szCs w:val="20"/>
        </w:rPr>
      </w:pPr>
      <w:r w:rsidRPr="0086696A">
        <w:rPr>
          <w:rFonts w:ascii="Calibri" w:hAnsi="Calibri"/>
          <w:color w:val="002060"/>
          <w:sz w:val="20"/>
          <w:szCs w:val="20"/>
        </w:rPr>
        <w:t xml:space="preserve">Pour faciliter l'exploitation de cette information, il est important de conserver dans l'historique les comptes rendus d'appels et de visites qui ont été faits. </w:t>
      </w:r>
    </w:p>
    <w:p w:rsidR="00DB7C7E" w:rsidRDefault="003B0601" w:rsidP="00DB7C7E">
      <w:pPr>
        <w:pStyle w:val="revuetexte"/>
        <w:spacing w:after="0"/>
        <w:ind w:left="227" w:hanging="227"/>
        <w:jc w:val="both"/>
        <w:rPr>
          <w:rFonts w:ascii="Calibri" w:hAnsi="Calibri"/>
          <w:color w:val="002060"/>
          <w:sz w:val="20"/>
          <w:szCs w:val="20"/>
        </w:rPr>
      </w:pPr>
      <w:r>
        <w:rPr>
          <w:rStyle w:val="lev"/>
          <w:rFonts w:ascii="Calibri" w:hAnsi="Calibri"/>
          <w:color w:val="002060"/>
          <w:sz w:val="21"/>
          <w:szCs w:val="21"/>
        </w:rPr>
        <w:t xml:space="preserve">2. </w:t>
      </w:r>
      <w:r w:rsidR="007A3373" w:rsidRPr="00DB7C7E">
        <w:rPr>
          <w:rStyle w:val="lev"/>
          <w:rFonts w:ascii="Calibri" w:hAnsi="Calibri"/>
          <w:color w:val="002060"/>
          <w:sz w:val="20"/>
          <w:szCs w:val="21"/>
        </w:rPr>
        <w:t>Le commercial</w:t>
      </w:r>
      <w:r w:rsidR="007A3373" w:rsidRPr="0086696A">
        <w:rPr>
          <w:rStyle w:val="lev"/>
          <w:rFonts w:ascii="Calibri" w:hAnsi="Calibri"/>
          <w:color w:val="002060"/>
          <w:sz w:val="20"/>
          <w:szCs w:val="20"/>
        </w:rPr>
        <w:t>.</w:t>
      </w:r>
      <w:r w:rsidR="007A3373" w:rsidRPr="0086696A">
        <w:rPr>
          <w:rFonts w:ascii="Calibri" w:hAnsi="Calibri"/>
          <w:color w:val="002060"/>
          <w:sz w:val="20"/>
          <w:szCs w:val="20"/>
        </w:rPr>
        <w:t xml:space="preserve"> </w:t>
      </w:r>
    </w:p>
    <w:p w:rsidR="007A3373" w:rsidRPr="0086696A" w:rsidRDefault="00DB7C7E" w:rsidP="00DB7C7E">
      <w:pPr>
        <w:pStyle w:val="revuetexte"/>
        <w:spacing w:after="60"/>
        <w:ind w:left="227" w:hanging="57"/>
        <w:jc w:val="both"/>
        <w:rPr>
          <w:rFonts w:ascii="Calibri" w:hAnsi="Calibri"/>
          <w:color w:val="002060"/>
          <w:sz w:val="20"/>
          <w:szCs w:val="20"/>
        </w:rPr>
      </w:pPr>
      <w:r>
        <w:rPr>
          <w:rStyle w:val="lev"/>
          <w:rFonts w:ascii="Calibri" w:hAnsi="Calibri"/>
          <w:color w:val="002060"/>
          <w:sz w:val="21"/>
          <w:szCs w:val="21"/>
        </w:rPr>
        <w:t xml:space="preserve"> </w:t>
      </w:r>
      <w:r w:rsidR="007A3373" w:rsidRPr="0086696A">
        <w:rPr>
          <w:rFonts w:ascii="Calibri" w:hAnsi="Calibri"/>
          <w:color w:val="002060"/>
          <w:sz w:val="20"/>
          <w:szCs w:val="20"/>
        </w:rPr>
        <w:t>Le collaborateur en charge de la relation commerciale avec ses clients est un fournisseur précieux d'information.</w:t>
      </w:r>
    </w:p>
    <w:p w:rsidR="000C2622" w:rsidRDefault="00DB7C7E" w:rsidP="003B0601">
      <w:pPr>
        <w:pStyle w:val="revuetexte"/>
        <w:spacing w:after="60"/>
        <w:ind w:left="340" w:hanging="170"/>
        <w:jc w:val="both"/>
        <w:rPr>
          <w:rFonts w:ascii="Calibri" w:hAnsi="Calibri"/>
          <w:color w:val="002060"/>
          <w:sz w:val="20"/>
          <w:szCs w:val="20"/>
        </w:rPr>
      </w:pPr>
      <w:r>
        <w:pict>
          <v:shape id="_x0000_i1029"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C'est en fonction des besoins de crédit du client que l'information collectée sera plus ou moins dense et élaborée. </w:t>
      </w:r>
      <w:r w:rsidR="007A3373" w:rsidRPr="0086696A">
        <w:rPr>
          <w:rFonts w:ascii="Calibri" w:hAnsi="Calibri"/>
          <w:color w:val="002060"/>
          <w:sz w:val="20"/>
          <w:szCs w:val="20"/>
        </w:rPr>
        <w:t>Le besoin de crédit s'estime eu égard aux prévisions mensuelles de vente et aux conditions de paiement souhaitées.</w:t>
      </w:r>
    </w:p>
    <w:p w:rsidR="007A3373" w:rsidRPr="00D93C2C" w:rsidRDefault="007A3373" w:rsidP="00D93C2C">
      <w:pPr>
        <w:pStyle w:val="revuetexte"/>
        <w:spacing w:after="0"/>
        <w:ind w:left="340"/>
        <w:jc w:val="both"/>
        <w:rPr>
          <w:rFonts w:ascii="Calibri" w:hAnsi="Calibri"/>
          <w:b/>
          <w:bCs/>
          <w:color w:val="002060"/>
          <w:sz w:val="20"/>
          <w:szCs w:val="20"/>
        </w:rPr>
      </w:pPr>
      <w:r w:rsidRPr="00FB1E5B">
        <w:rPr>
          <w:rStyle w:val="revueremarquetitre"/>
          <w:rFonts w:ascii="Calibri" w:hAnsi="Calibri"/>
          <w:b w:val="0"/>
          <w:color w:val="002060"/>
          <w:sz w:val="20"/>
          <w:szCs w:val="20"/>
        </w:rPr>
        <w:lastRenderedPageBreak/>
        <w:t>Exemple :</w:t>
      </w:r>
      <w:r w:rsidR="000C2622">
        <w:rPr>
          <w:rStyle w:val="revueremarquetitre"/>
          <w:rFonts w:ascii="Calibri" w:hAnsi="Calibri"/>
          <w:color w:val="002060"/>
          <w:sz w:val="20"/>
          <w:szCs w:val="20"/>
        </w:rPr>
        <w:t xml:space="preserve"> </w:t>
      </w:r>
      <w:r w:rsidRPr="0086696A">
        <w:rPr>
          <w:rFonts w:ascii="Calibri" w:hAnsi="Calibri"/>
          <w:color w:val="002060"/>
          <w:sz w:val="20"/>
          <w:szCs w:val="20"/>
        </w:rPr>
        <w:t>Des ventes mensuelles de 15 K€, assorties d'un paiement à 30 jours fin de mois, signifient que l'encours prévisible sera de 30 K€ + x % pour tenir compte des variations de chiffre d'affaires et des quelques jours de retard inévitables si le vendeur n'a pas la main sur les titres de paiement.</w:t>
      </w:r>
    </w:p>
    <w:p w:rsidR="007A3373" w:rsidRPr="0086696A" w:rsidRDefault="007A3373" w:rsidP="003B0601">
      <w:pPr>
        <w:pStyle w:val="revuetexte"/>
        <w:spacing w:after="0"/>
        <w:ind w:left="340"/>
        <w:jc w:val="both"/>
        <w:rPr>
          <w:rFonts w:ascii="Calibri" w:hAnsi="Calibri"/>
          <w:color w:val="002060"/>
          <w:sz w:val="20"/>
          <w:szCs w:val="20"/>
        </w:rPr>
      </w:pPr>
      <w:r w:rsidRPr="0086696A">
        <w:rPr>
          <w:rFonts w:ascii="Calibri" w:hAnsi="Calibri"/>
          <w:color w:val="002060"/>
          <w:sz w:val="20"/>
          <w:szCs w:val="20"/>
        </w:rPr>
        <w:t xml:space="preserve">Le commercial a la connaissance des besoins de son client et, par là même, de l'évolution de son carnet de commandes, de sa clientèle, du marché auquel sont destinés les produits à lui vendre. </w:t>
      </w:r>
    </w:p>
    <w:p w:rsidR="007A3373" w:rsidRPr="0086696A" w:rsidRDefault="007A3373" w:rsidP="003B0601">
      <w:pPr>
        <w:pStyle w:val="revuetexte"/>
        <w:spacing w:after="0"/>
        <w:ind w:left="340"/>
        <w:jc w:val="both"/>
        <w:rPr>
          <w:rFonts w:ascii="Calibri" w:hAnsi="Calibri"/>
          <w:color w:val="002060"/>
          <w:sz w:val="20"/>
          <w:szCs w:val="20"/>
        </w:rPr>
      </w:pPr>
      <w:r w:rsidRPr="0086696A">
        <w:rPr>
          <w:rFonts w:ascii="Calibri" w:hAnsi="Calibri"/>
          <w:color w:val="002060"/>
          <w:sz w:val="20"/>
          <w:szCs w:val="20"/>
        </w:rPr>
        <w:t>Cette information est particulièrement utile dans la perspective de la mise en place de garantie du type de la délégation de créance, ou de traites endossées.</w:t>
      </w:r>
    </w:p>
    <w:p w:rsidR="007A3373" w:rsidRPr="0086696A" w:rsidRDefault="007A3373" w:rsidP="003B0601">
      <w:pPr>
        <w:pStyle w:val="revuetexte"/>
        <w:spacing w:after="60"/>
        <w:ind w:left="340"/>
        <w:jc w:val="both"/>
        <w:rPr>
          <w:rFonts w:ascii="Calibri" w:hAnsi="Calibri"/>
          <w:color w:val="002060"/>
          <w:sz w:val="20"/>
          <w:szCs w:val="20"/>
        </w:rPr>
      </w:pPr>
      <w:r w:rsidRPr="0086696A">
        <w:rPr>
          <w:rFonts w:ascii="Calibri" w:hAnsi="Calibri"/>
          <w:color w:val="002060"/>
          <w:sz w:val="20"/>
          <w:szCs w:val="20"/>
        </w:rPr>
        <w:t xml:space="preserve">Certains commerciaux connaissent leurs clients depuis des années, les visitent plusieurs fois par mois et entretiennent avec eux une relation de confiance. </w:t>
      </w:r>
    </w:p>
    <w:p w:rsidR="007A3373" w:rsidRPr="0086696A" w:rsidRDefault="00791D72" w:rsidP="003B0601">
      <w:pPr>
        <w:pStyle w:val="revuetexte"/>
        <w:spacing w:after="0"/>
        <w:ind w:left="340" w:hanging="170"/>
        <w:jc w:val="both"/>
        <w:rPr>
          <w:rFonts w:ascii="Calibri" w:hAnsi="Calibri"/>
          <w:color w:val="002060"/>
          <w:sz w:val="20"/>
          <w:szCs w:val="20"/>
        </w:rPr>
      </w:pPr>
      <w:r w:rsidRPr="00C94CB6">
        <w:rPr>
          <w:noProof/>
        </w:rPr>
        <w:drawing>
          <wp:inline distT="0" distB="0" distL="0" distR="0" wp14:anchorId="1B292B0E" wp14:editId="15657F0C">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Lorsque la cotation du risque n'autorise pas, ou n'autorise plus, à fournir un client selon les besoins estimés, le commercial a ainsi des facilités pour obtenir des explications </w:t>
      </w:r>
      <w:r w:rsidR="007A3373" w:rsidRPr="0086696A">
        <w:rPr>
          <w:rFonts w:ascii="Calibri" w:hAnsi="Calibri"/>
          <w:color w:val="002060"/>
          <w:sz w:val="20"/>
          <w:szCs w:val="20"/>
        </w:rPr>
        <w:t>confidentielles de la part de l'équipe dirigeante, mais aussi de l'acheteur et de la production. Ces informations peuvent être de nature à rassurer le fournisseur sur la capacité de son client à honorer ses engagements et pondèrent ainsi la première cotation.</w:t>
      </w:r>
    </w:p>
    <w:p w:rsidR="007A3373" w:rsidRPr="0086696A" w:rsidRDefault="007A3373" w:rsidP="003B0601">
      <w:pPr>
        <w:pStyle w:val="revuetexte"/>
        <w:spacing w:after="0"/>
        <w:ind w:left="340"/>
        <w:jc w:val="both"/>
        <w:rPr>
          <w:rFonts w:ascii="Calibri" w:hAnsi="Calibri"/>
          <w:color w:val="002060"/>
          <w:sz w:val="20"/>
          <w:szCs w:val="20"/>
        </w:rPr>
      </w:pPr>
      <w:r w:rsidRPr="0086696A">
        <w:rPr>
          <w:rFonts w:ascii="Calibri" w:hAnsi="Calibri"/>
          <w:color w:val="002060"/>
          <w:sz w:val="20"/>
          <w:szCs w:val="20"/>
        </w:rPr>
        <w:t xml:space="preserve">Lorsqu'un client remet ses comptes sociaux à un commercial qui lui rend visite, c'est dans l'espoir de conserver de bonnes conditions de crédit ou, s'il les a perdues, d'en retrouver. Cette occasion est aussi propice à des échanges de qualité. Le client est alors disposé à évoquer sa situation économique et financière. Une société dont les comptes se sont dégradés sur le dernier exercice a tout intérêt à les communiquer à ses partenaires financiers ainsi que commerciaux avant qu'ils ne soient rendus publics par les greffes. En effet, les assureurs-crédit, les </w:t>
      </w:r>
      <w:proofErr w:type="spellStart"/>
      <w:r w:rsidRPr="0086696A">
        <w:rPr>
          <w:rFonts w:ascii="Calibri" w:hAnsi="Calibri"/>
          <w:color w:val="002060"/>
          <w:sz w:val="20"/>
          <w:szCs w:val="20"/>
        </w:rPr>
        <w:t>factors</w:t>
      </w:r>
      <w:proofErr w:type="spellEnd"/>
      <w:r w:rsidRPr="0086696A">
        <w:rPr>
          <w:rFonts w:ascii="Calibri" w:hAnsi="Calibri"/>
          <w:color w:val="002060"/>
          <w:sz w:val="20"/>
          <w:szCs w:val="20"/>
        </w:rPr>
        <w:t>, les sociétés de renseignement commercial récupèrent ces informations qui peuvent entraîner une révision automatique de la cotation des risques.</w:t>
      </w:r>
    </w:p>
    <w:p w:rsidR="007A3373" w:rsidRPr="0086696A" w:rsidRDefault="007A3373" w:rsidP="003B0601">
      <w:pPr>
        <w:pStyle w:val="revuetexte"/>
        <w:spacing w:after="60"/>
        <w:ind w:left="340"/>
        <w:jc w:val="both"/>
        <w:rPr>
          <w:rFonts w:ascii="Calibri" w:hAnsi="Calibri"/>
          <w:color w:val="002060"/>
          <w:sz w:val="20"/>
          <w:szCs w:val="20"/>
        </w:rPr>
      </w:pPr>
      <w:r w:rsidRPr="0086696A">
        <w:rPr>
          <w:rFonts w:ascii="Calibri" w:hAnsi="Calibri"/>
          <w:color w:val="002060"/>
          <w:sz w:val="20"/>
          <w:szCs w:val="20"/>
        </w:rPr>
        <w:t>Cette approche préventive a pour effet de préparer les partenaires, de leur expliquer les raisons d'une dégradation et surtout d'expliquer, peut-être preuves à l'appui, les mesures qui ont été prises sur l'exercice en cours (recapitalisation, restructuration, cession d'actifs non stratégiques...).</w:t>
      </w:r>
    </w:p>
    <w:p w:rsidR="007A3373" w:rsidRPr="0086696A" w:rsidRDefault="00791D72" w:rsidP="003B0601">
      <w:pPr>
        <w:pStyle w:val="revuetexte"/>
        <w:spacing w:after="120"/>
        <w:ind w:left="283" w:hanging="170"/>
        <w:jc w:val="both"/>
        <w:rPr>
          <w:rFonts w:ascii="Calibri" w:hAnsi="Calibri"/>
          <w:color w:val="002060"/>
          <w:sz w:val="20"/>
          <w:szCs w:val="20"/>
        </w:rPr>
      </w:pPr>
      <w:r w:rsidRPr="00C94CB6">
        <w:rPr>
          <w:noProof/>
        </w:rPr>
        <w:drawing>
          <wp:inline distT="0" distB="0" distL="0" distR="0" wp14:anchorId="3E624A35" wp14:editId="5BC5AB12">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La visite domiciliaire est d'ailleurs à privilégier pour obtenir une information détaillée. </w:t>
      </w:r>
      <w:r w:rsidR="007A3373" w:rsidRPr="0086696A">
        <w:rPr>
          <w:rFonts w:ascii="Calibri" w:hAnsi="Calibri"/>
          <w:color w:val="002060"/>
          <w:sz w:val="20"/>
          <w:szCs w:val="20"/>
        </w:rPr>
        <w:t xml:space="preserve">Des éléments d'observation tels que le niveau de stocks, l'activité en production, les nouveaux équipements, l'accueil, le moral des collaborateurs, l'affichage interne... sont utiles et facilitent la lecture des comptes sociaux par le responsable financier. </w:t>
      </w:r>
    </w:p>
    <w:p w:rsidR="00DB7C7E" w:rsidRDefault="0099584A" w:rsidP="00DB7C7E">
      <w:pPr>
        <w:pStyle w:val="revuetexte"/>
        <w:spacing w:after="0"/>
        <w:ind w:left="227" w:hanging="227"/>
        <w:jc w:val="both"/>
        <w:rPr>
          <w:rFonts w:ascii="Calibri" w:hAnsi="Calibri"/>
          <w:color w:val="002060"/>
          <w:sz w:val="20"/>
          <w:szCs w:val="20"/>
        </w:rPr>
      </w:pPr>
      <w:r w:rsidRPr="00DB7C7E">
        <w:rPr>
          <w:rStyle w:val="lev"/>
          <w:rFonts w:ascii="Calibri" w:hAnsi="Calibri"/>
          <w:color w:val="002060"/>
          <w:sz w:val="20"/>
          <w:szCs w:val="21"/>
        </w:rPr>
        <w:t xml:space="preserve">3. </w:t>
      </w:r>
      <w:r w:rsidR="007A3373" w:rsidRPr="00DB7C7E">
        <w:rPr>
          <w:rStyle w:val="lev"/>
          <w:rFonts w:ascii="Calibri" w:hAnsi="Calibri"/>
          <w:color w:val="002060"/>
          <w:sz w:val="20"/>
          <w:szCs w:val="21"/>
        </w:rPr>
        <w:t>Les autres sources d'information</w:t>
      </w:r>
      <w:r w:rsidR="007A3373" w:rsidRPr="0086696A">
        <w:rPr>
          <w:rStyle w:val="lev"/>
          <w:rFonts w:ascii="Calibri" w:hAnsi="Calibri"/>
          <w:color w:val="002060"/>
          <w:sz w:val="20"/>
          <w:szCs w:val="20"/>
        </w:rPr>
        <w:t>.</w:t>
      </w:r>
      <w:r w:rsidR="007A3373" w:rsidRPr="0086696A">
        <w:rPr>
          <w:rFonts w:ascii="Calibri" w:hAnsi="Calibri"/>
          <w:color w:val="002060"/>
          <w:sz w:val="20"/>
          <w:szCs w:val="20"/>
        </w:rPr>
        <w:t xml:space="preserve"> </w:t>
      </w:r>
    </w:p>
    <w:p w:rsidR="007A3373" w:rsidRPr="0086696A" w:rsidRDefault="00DB7C7E" w:rsidP="00DB7C7E">
      <w:pPr>
        <w:pStyle w:val="revuetexte"/>
        <w:spacing w:after="60"/>
        <w:ind w:left="227" w:hanging="57"/>
        <w:jc w:val="both"/>
        <w:rPr>
          <w:rFonts w:ascii="Calibri" w:hAnsi="Calibri"/>
          <w:color w:val="002060"/>
          <w:sz w:val="20"/>
          <w:szCs w:val="20"/>
        </w:rPr>
      </w:pPr>
      <w:r>
        <w:rPr>
          <w:rFonts w:ascii="Calibri" w:hAnsi="Calibri"/>
          <w:color w:val="002060"/>
          <w:sz w:val="20"/>
          <w:szCs w:val="20"/>
        </w:rPr>
        <w:t xml:space="preserve"> </w:t>
      </w:r>
      <w:r w:rsidR="007A3373" w:rsidRPr="0086696A">
        <w:rPr>
          <w:rFonts w:ascii="Calibri" w:hAnsi="Calibri"/>
          <w:color w:val="002060"/>
          <w:sz w:val="20"/>
          <w:szCs w:val="20"/>
        </w:rPr>
        <w:t>Elles sont nombreuses et permettent de recouper l'information, même si elles sont parfois difficiles à obtenir.</w:t>
      </w:r>
    </w:p>
    <w:p w:rsidR="007A3373" w:rsidRPr="0086696A" w:rsidRDefault="003B0601" w:rsidP="003B0601">
      <w:pPr>
        <w:pStyle w:val="revuetexte"/>
        <w:spacing w:after="60"/>
        <w:ind w:left="340" w:hanging="170"/>
        <w:jc w:val="both"/>
        <w:rPr>
          <w:rFonts w:ascii="Calibri" w:hAnsi="Calibri"/>
          <w:color w:val="002060"/>
          <w:sz w:val="20"/>
          <w:szCs w:val="20"/>
        </w:rPr>
      </w:pPr>
      <w:r w:rsidRPr="00C94CB6">
        <w:rPr>
          <w:noProof/>
        </w:rPr>
        <w:drawing>
          <wp:inline distT="0" distB="0" distL="0" distR="0" wp14:anchorId="7790808F" wp14:editId="7DA0EA1A">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Le banquier : </w:t>
      </w:r>
      <w:r w:rsidR="007A3373" w:rsidRPr="0086696A">
        <w:rPr>
          <w:rFonts w:ascii="Calibri" w:hAnsi="Calibri"/>
          <w:color w:val="002060"/>
          <w:sz w:val="20"/>
          <w:szCs w:val="20"/>
        </w:rPr>
        <w:t>est-il possible de présenter à nouveau un chèque revenu impayé ? Quelle est la position de la banque dans les facilités qu'elle accorde à son client ? Précisons toutefois que d'une façon générale, le client devra donner son accord à la banque pour qu'elle accepte de communiquer.</w:t>
      </w:r>
    </w:p>
    <w:p w:rsidR="007A3373" w:rsidRPr="0086696A" w:rsidRDefault="003B0601" w:rsidP="003B0601">
      <w:pPr>
        <w:pStyle w:val="revuetexte"/>
        <w:spacing w:after="100" w:afterAutospacing="1"/>
        <w:ind w:left="340" w:hanging="170"/>
        <w:jc w:val="both"/>
        <w:rPr>
          <w:rFonts w:ascii="Calibri" w:hAnsi="Calibri"/>
          <w:color w:val="002060"/>
          <w:sz w:val="20"/>
          <w:szCs w:val="20"/>
        </w:rPr>
      </w:pPr>
      <w:r w:rsidRPr="00C94CB6">
        <w:rPr>
          <w:noProof/>
        </w:rPr>
        <w:drawing>
          <wp:inline distT="0" distB="0" distL="0" distR="0" wp14:anchorId="7790808F" wp14:editId="7DA0EA1A">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L'</w:t>
      </w:r>
      <w:r w:rsidRPr="0086696A">
        <w:rPr>
          <w:rStyle w:val="lev"/>
          <w:rFonts w:ascii="Calibri" w:hAnsi="Calibri"/>
          <w:color w:val="002060"/>
          <w:sz w:val="20"/>
          <w:szCs w:val="20"/>
        </w:rPr>
        <w:t>expert-comptable</w:t>
      </w:r>
      <w:r w:rsidR="007A3373" w:rsidRPr="0086696A">
        <w:rPr>
          <w:rStyle w:val="lev"/>
          <w:rFonts w:ascii="Calibri" w:hAnsi="Calibri"/>
          <w:color w:val="002060"/>
          <w:sz w:val="20"/>
          <w:szCs w:val="20"/>
        </w:rPr>
        <w:t xml:space="preserve"> : </w:t>
      </w:r>
      <w:r w:rsidR="007A3373" w:rsidRPr="0086696A">
        <w:rPr>
          <w:rFonts w:ascii="Calibri" w:hAnsi="Calibri"/>
          <w:color w:val="002060"/>
          <w:sz w:val="20"/>
          <w:szCs w:val="20"/>
        </w:rPr>
        <w:t>lorsque la liasse fiscale ou une situation intermédiaire appelle  des précisions, le dirigeant n'a pas toute la connaissance nécessaire et peut souhaiter mettre en relation l'</w:t>
      </w:r>
      <w:r w:rsidR="00496D00" w:rsidRPr="0086696A">
        <w:rPr>
          <w:rFonts w:ascii="Calibri" w:hAnsi="Calibri"/>
          <w:color w:val="002060"/>
          <w:sz w:val="20"/>
          <w:szCs w:val="20"/>
        </w:rPr>
        <w:t>expert-comptable</w:t>
      </w:r>
      <w:r w:rsidR="007A3373" w:rsidRPr="0086696A">
        <w:rPr>
          <w:rFonts w:ascii="Calibri" w:hAnsi="Calibri"/>
          <w:color w:val="002060"/>
          <w:sz w:val="20"/>
          <w:szCs w:val="20"/>
        </w:rPr>
        <w:t xml:space="preserve"> et le fournisseur.</w:t>
      </w:r>
    </w:p>
    <w:p w:rsidR="007A3373" w:rsidRPr="00DB7C7E" w:rsidRDefault="003B0601" w:rsidP="00496D00">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Comment évaluer les risques de crédit identifies et les prévenir </w:t>
      </w:r>
      <w:r w:rsidR="007A3373" w:rsidRPr="00DB7C7E">
        <w:rPr>
          <w:rFonts w:ascii="Calibri" w:hAnsi="Calibri"/>
          <w:color w:val="002060"/>
          <w:sz w:val="24"/>
          <w:szCs w:val="26"/>
        </w:rPr>
        <w:t xml:space="preserve">? </w:t>
      </w:r>
    </w:p>
    <w:p w:rsidR="007A3373" w:rsidRPr="003B0601" w:rsidRDefault="007A3373" w:rsidP="003B0601">
      <w:pPr>
        <w:pStyle w:val="revuesousintertitre"/>
        <w:spacing w:before="0" w:after="60"/>
        <w:ind w:left="0"/>
        <w:jc w:val="both"/>
        <w:rPr>
          <w:rFonts w:ascii="Calibri" w:hAnsi="Calibri"/>
          <w:color w:val="002060"/>
          <w:sz w:val="21"/>
          <w:szCs w:val="21"/>
        </w:rPr>
      </w:pPr>
      <w:r w:rsidRPr="003B0601">
        <w:rPr>
          <w:rStyle w:val="revuesousintertitre1"/>
          <w:rFonts w:ascii="Calibri" w:hAnsi="Calibri"/>
          <w:color w:val="002060"/>
          <w:sz w:val="21"/>
          <w:szCs w:val="21"/>
        </w:rPr>
        <w:t xml:space="preserve">Effectuer une analyse financière des comptes du client </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Le recours à l'analyse des comptes sociaux des clients est nécessaire en l'absence de cotation du risque par un prestataire externe, ou lorsque cette cotation n'est pas satisfaisante.</w:t>
      </w:r>
    </w:p>
    <w:p w:rsidR="007A3373" w:rsidRPr="0086696A" w:rsidRDefault="007A3373" w:rsidP="003B0601">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L'analyse est généralement réalisée par le </w:t>
      </w:r>
      <w:r w:rsidR="00883515" w:rsidRPr="0086696A">
        <w:rPr>
          <w:rFonts w:ascii="Calibri" w:hAnsi="Calibri"/>
          <w:color w:val="002060"/>
          <w:sz w:val="20"/>
          <w:szCs w:val="20"/>
        </w:rPr>
        <w:t>crédit</w:t>
      </w:r>
      <w:r w:rsidRPr="0086696A">
        <w:rPr>
          <w:rFonts w:ascii="Calibri" w:hAnsi="Calibri"/>
          <w:color w:val="002060"/>
          <w:sz w:val="20"/>
          <w:szCs w:val="20"/>
        </w:rPr>
        <w:t xml:space="preserve"> manager ; une tendance est toutefois d'apporter un niveau de connaissance minimum aux commerciaux pour leur permettre de balayer le bilan et le compte de résultat et évoquer les faits marquants avec le client qui leur remet les comptes.</w:t>
      </w:r>
    </w:p>
    <w:p w:rsidR="007A3373" w:rsidRPr="003B0601" w:rsidRDefault="007A3373" w:rsidP="003B0601">
      <w:pPr>
        <w:pStyle w:val="revuetexte"/>
        <w:spacing w:after="60"/>
        <w:ind w:left="0"/>
        <w:jc w:val="both"/>
        <w:rPr>
          <w:rFonts w:ascii="Calibri" w:hAnsi="Calibri"/>
          <w:color w:val="002060"/>
          <w:sz w:val="21"/>
          <w:szCs w:val="21"/>
        </w:rPr>
      </w:pPr>
      <w:r w:rsidRPr="003B0601">
        <w:rPr>
          <w:rStyle w:val="lev"/>
          <w:rFonts w:ascii="Calibri" w:hAnsi="Calibri"/>
          <w:color w:val="002060"/>
          <w:sz w:val="21"/>
          <w:szCs w:val="21"/>
        </w:rPr>
        <w:t xml:space="preserve">Sur quels états comptables et financiers travailler ? </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A minima, le bilan et le compte de résultat de la liasse fiscale sont nécessaires ; les tableaux des provisions, le tableau des échéances des dettes et des créances ainsi que le tableau d'affectation du résultat sont fortement recommandés.</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En réalité, il ne faut pas hésiter à demander la liasse fiscale complète. La plaquette des comptes annuels établie par </w:t>
      </w:r>
      <w:r w:rsidR="00496D00">
        <w:rPr>
          <w:rFonts w:ascii="Calibri" w:hAnsi="Calibri"/>
          <w:color w:val="002060"/>
          <w:sz w:val="20"/>
          <w:szCs w:val="20"/>
        </w:rPr>
        <w:t xml:space="preserve">           </w:t>
      </w:r>
      <w:r w:rsidRPr="0086696A">
        <w:rPr>
          <w:rFonts w:ascii="Calibri" w:hAnsi="Calibri"/>
          <w:color w:val="002060"/>
          <w:sz w:val="20"/>
          <w:szCs w:val="20"/>
        </w:rPr>
        <w:t>l'exper</w:t>
      </w:r>
      <w:r w:rsidR="00496D00">
        <w:rPr>
          <w:rFonts w:ascii="Calibri" w:hAnsi="Calibri"/>
          <w:color w:val="002060"/>
          <w:sz w:val="20"/>
          <w:szCs w:val="20"/>
        </w:rPr>
        <w:t>t-</w:t>
      </w:r>
      <w:r w:rsidRPr="0086696A">
        <w:rPr>
          <w:rFonts w:ascii="Calibri" w:hAnsi="Calibri"/>
          <w:color w:val="002060"/>
          <w:sz w:val="20"/>
          <w:szCs w:val="20"/>
        </w:rPr>
        <w:t>comptable apporte une information encore plus riche, avec des tableaux et des informations explicatives sur les différents postes.</w:t>
      </w:r>
    </w:p>
    <w:p w:rsidR="007A3373" w:rsidRPr="0086696A" w:rsidRDefault="007A3373" w:rsidP="0099584A">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Certains prestataires proposent le téléchargement des liasses fiscales sous format </w:t>
      </w:r>
      <w:proofErr w:type="spellStart"/>
      <w:r w:rsidRPr="0086696A">
        <w:rPr>
          <w:rFonts w:ascii="Calibri" w:hAnsi="Calibri"/>
          <w:color w:val="002060"/>
          <w:sz w:val="20"/>
          <w:szCs w:val="20"/>
        </w:rPr>
        <w:t>xls</w:t>
      </w:r>
      <w:proofErr w:type="spellEnd"/>
      <w:r w:rsidRPr="0086696A">
        <w:rPr>
          <w:rFonts w:ascii="Calibri" w:hAnsi="Calibri"/>
          <w:color w:val="002060"/>
          <w:sz w:val="20"/>
          <w:szCs w:val="20"/>
        </w:rPr>
        <w:t xml:space="preserve">, permettant ainsi la mise en forme et la constitution automatique de ses propres tableaux d'analyse financière et un </w:t>
      </w:r>
      <w:proofErr w:type="spellStart"/>
      <w:r w:rsidRPr="0086696A">
        <w:rPr>
          <w:rFonts w:ascii="Calibri" w:hAnsi="Calibri"/>
          <w:color w:val="002060"/>
          <w:sz w:val="20"/>
          <w:szCs w:val="20"/>
        </w:rPr>
        <w:t>scoring</w:t>
      </w:r>
      <w:proofErr w:type="spellEnd"/>
      <w:r w:rsidRPr="0086696A">
        <w:rPr>
          <w:rFonts w:ascii="Calibri" w:hAnsi="Calibri"/>
          <w:color w:val="002060"/>
          <w:sz w:val="20"/>
          <w:szCs w:val="20"/>
        </w:rPr>
        <w:t>.</w:t>
      </w:r>
    </w:p>
    <w:p w:rsidR="007A3373" w:rsidRPr="003B0601" w:rsidRDefault="007A3373" w:rsidP="0099584A">
      <w:pPr>
        <w:pStyle w:val="revuetexte"/>
        <w:spacing w:after="60"/>
        <w:ind w:left="0"/>
        <w:jc w:val="both"/>
        <w:rPr>
          <w:rFonts w:ascii="Calibri" w:hAnsi="Calibri"/>
          <w:color w:val="002060"/>
          <w:sz w:val="21"/>
          <w:szCs w:val="21"/>
        </w:rPr>
      </w:pPr>
      <w:r w:rsidRPr="003B0601">
        <w:rPr>
          <w:rStyle w:val="lev"/>
          <w:rFonts w:ascii="Calibri" w:hAnsi="Calibri"/>
          <w:color w:val="002060"/>
          <w:sz w:val="21"/>
          <w:szCs w:val="21"/>
        </w:rPr>
        <w:t xml:space="preserve">Les indicateurs à privilégier pour prévenir les risques de crédit </w:t>
      </w:r>
    </w:p>
    <w:p w:rsidR="007A3373" w:rsidRPr="0086696A" w:rsidRDefault="007A3373" w:rsidP="00883515">
      <w:pPr>
        <w:pStyle w:val="revuetexte"/>
        <w:spacing w:after="60"/>
        <w:ind w:left="0"/>
        <w:jc w:val="both"/>
        <w:rPr>
          <w:rFonts w:ascii="Calibri" w:hAnsi="Calibri"/>
          <w:color w:val="002060"/>
          <w:sz w:val="20"/>
          <w:szCs w:val="20"/>
        </w:rPr>
      </w:pPr>
      <w:r w:rsidRPr="0086696A">
        <w:rPr>
          <w:rFonts w:ascii="Calibri" w:hAnsi="Calibri"/>
          <w:color w:val="002060"/>
          <w:sz w:val="20"/>
          <w:szCs w:val="20"/>
        </w:rPr>
        <w:t>L'analyse pour détecter un éventuel risque de défaillance à court terme est classique. La performance économique est appréciée sur la lecture du compte de résultat ; la pérennité de l'entreprise s'apprécie sur l'analyse du bilan après retraitement.</w:t>
      </w:r>
    </w:p>
    <w:p w:rsidR="007A3373" w:rsidRPr="0086696A" w:rsidRDefault="003B0601" w:rsidP="00883515">
      <w:pPr>
        <w:pStyle w:val="revuetexte"/>
        <w:spacing w:after="60"/>
        <w:ind w:left="170" w:hanging="170"/>
        <w:jc w:val="both"/>
        <w:rPr>
          <w:rFonts w:ascii="Calibri" w:hAnsi="Calibri"/>
          <w:color w:val="002060"/>
          <w:sz w:val="20"/>
          <w:szCs w:val="20"/>
        </w:rPr>
      </w:pPr>
      <w:r w:rsidRPr="00C94CB6">
        <w:rPr>
          <w:noProof/>
        </w:rPr>
        <w:drawing>
          <wp:inline distT="0" distB="0" distL="0" distR="0" wp14:anchorId="0C8CE84B" wp14:editId="14B83654">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En dehors des indicateurs classiques, </w:t>
      </w:r>
      <w:r w:rsidR="007A3373" w:rsidRPr="0086696A">
        <w:rPr>
          <w:rFonts w:ascii="Calibri" w:hAnsi="Calibri"/>
          <w:color w:val="002060"/>
          <w:sz w:val="20"/>
          <w:szCs w:val="20"/>
        </w:rPr>
        <w:t>relevant du fonds de roulement, du besoin en fonds de roulement et de la trésorerie, l'analyse crédit s'interroge sur l'impact d'une forte variation d'activité, sur la politique d'investissement et sur les possibilités de financement.</w:t>
      </w:r>
    </w:p>
    <w:p w:rsidR="007A3373" w:rsidRPr="0086696A" w:rsidRDefault="003B0601" w:rsidP="00883515">
      <w:pPr>
        <w:pStyle w:val="revuetexte"/>
        <w:spacing w:after="60"/>
        <w:ind w:left="170" w:hanging="170"/>
        <w:jc w:val="both"/>
        <w:rPr>
          <w:rFonts w:ascii="Calibri" w:hAnsi="Calibri"/>
          <w:color w:val="002060"/>
          <w:sz w:val="20"/>
          <w:szCs w:val="20"/>
        </w:rPr>
      </w:pPr>
      <w:r w:rsidRPr="00C94CB6">
        <w:rPr>
          <w:noProof/>
        </w:rPr>
        <w:lastRenderedPageBreak/>
        <w:drawing>
          <wp:inline distT="0" distB="0" distL="0" distR="0" wp14:anchorId="0C8CE84B" wp14:editId="14B83654">
            <wp:extent cx="114300" cy="95250"/>
            <wp:effectExtent l="0" t="0" r="0" b="0"/>
            <wp:docPr id="19" name="Imag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L'analyse de la capacité d'autofinancement et des fonds propres </w:t>
      </w:r>
      <w:r w:rsidR="007A3373" w:rsidRPr="0086696A">
        <w:rPr>
          <w:rFonts w:ascii="Calibri" w:hAnsi="Calibri"/>
          <w:color w:val="002060"/>
          <w:sz w:val="20"/>
          <w:szCs w:val="20"/>
        </w:rPr>
        <w:t>par rapport aux standards bancaires est alors intéressante. Un fournisseur évite de supporter tous les risques et la règle des trois tiers est souvent recherchée, même si elle ne revêt pas un caractère déterminant (1/3 fonds propres, 1/3 dettes financières, 1/3 dettes fournisseurs).</w:t>
      </w:r>
    </w:p>
    <w:p w:rsidR="0099584A" w:rsidRDefault="00DB7C7E" w:rsidP="00FB1E5B">
      <w:pPr>
        <w:pStyle w:val="revuetexte"/>
        <w:spacing w:after="60"/>
        <w:ind w:left="170" w:hanging="170"/>
        <w:jc w:val="both"/>
        <w:rPr>
          <w:rFonts w:ascii="Calibri" w:hAnsi="Calibri"/>
          <w:color w:val="002060"/>
          <w:sz w:val="20"/>
          <w:szCs w:val="20"/>
        </w:rPr>
      </w:pPr>
      <w:r>
        <w:pict>
          <v:shape id="_x0000_i1030"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La structure des actifs, </w:t>
      </w:r>
      <w:r w:rsidR="007A3373" w:rsidRPr="0086696A">
        <w:rPr>
          <w:rFonts w:ascii="Calibri" w:hAnsi="Calibri"/>
          <w:color w:val="002060"/>
          <w:sz w:val="20"/>
          <w:szCs w:val="20"/>
        </w:rPr>
        <w:t>même si la présentation des comptes la rend encore peu lisible, permet d'appréhender la capacité de l'entreprise à dégager de la trésorerie en cas de nécessité.</w:t>
      </w:r>
    </w:p>
    <w:p w:rsidR="007A3373" w:rsidRPr="0086696A" w:rsidRDefault="007B033C" w:rsidP="00FB1E5B">
      <w:pPr>
        <w:pStyle w:val="revuetexte"/>
        <w:spacing w:after="120"/>
        <w:ind w:left="170"/>
        <w:jc w:val="both"/>
        <w:rPr>
          <w:rFonts w:ascii="Calibri" w:hAnsi="Calibri"/>
          <w:color w:val="002060"/>
          <w:sz w:val="20"/>
          <w:szCs w:val="20"/>
        </w:rPr>
      </w:pPr>
      <w:r>
        <w:rPr>
          <w:rFonts w:ascii="Calibri" w:hAnsi="Calibri"/>
          <w:color w:val="002060"/>
          <w:sz w:val="20"/>
          <w:szCs w:val="20"/>
        </w:rPr>
        <w:t>Exemple : l</w:t>
      </w:r>
      <w:r w:rsidR="007A3373" w:rsidRPr="0086696A">
        <w:rPr>
          <w:rFonts w:ascii="Calibri" w:hAnsi="Calibri"/>
          <w:color w:val="002060"/>
          <w:sz w:val="20"/>
          <w:szCs w:val="20"/>
        </w:rPr>
        <w:t>a détention par une société de ses actifs immobiliers ainsi que de son outil de production, avec une bonne rotation de ses stocks et de son poste clients, dès lors que l'endettement financier et fournisseur est maîtrisé, favorise la mise en place d'une ligne de crédit suffisante.</w:t>
      </w:r>
    </w:p>
    <w:p w:rsidR="007A3373" w:rsidRPr="003B0601" w:rsidRDefault="007A3373" w:rsidP="0099584A">
      <w:pPr>
        <w:pStyle w:val="revuesousintertitre"/>
        <w:spacing w:after="60"/>
        <w:ind w:left="0"/>
        <w:jc w:val="both"/>
        <w:rPr>
          <w:rFonts w:ascii="Calibri" w:hAnsi="Calibri"/>
          <w:color w:val="002060"/>
          <w:sz w:val="21"/>
          <w:szCs w:val="21"/>
        </w:rPr>
      </w:pPr>
      <w:r w:rsidRPr="003B0601">
        <w:rPr>
          <w:rStyle w:val="revuesousintertitre1"/>
          <w:rFonts w:ascii="Calibri" w:hAnsi="Calibri"/>
          <w:color w:val="002060"/>
          <w:sz w:val="21"/>
          <w:szCs w:val="21"/>
        </w:rPr>
        <w:t xml:space="preserve">Fixer une limite de crédit pour chaque client </w:t>
      </w:r>
    </w:p>
    <w:p w:rsidR="007A3373" w:rsidRPr="0086696A" w:rsidRDefault="007A3373" w:rsidP="0099584A">
      <w:pPr>
        <w:pStyle w:val="revuetexte"/>
        <w:spacing w:after="120"/>
        <w:ind w:left="0"/>
        <w:jc w:val="both"/>
        <w:rPr>
          <w:rFonts w:ascii="Calibri" w:hAnsi="Calibri"/>
          <w:color w:val="002060"/>
          <w:sz w:val="20"/>
          <w:szCs w:val="20"/>
        </w:rPr>
      </w:pPr>
      <w:r w:rsidRPr="0086696A">
        <w:rPr>
          <w:rFonts w:ascii="Calibri" w:hAnsi="Calibri"/>
          <w:color w:val="002060"/>
          <w:sz w:val="20"/>
          <w:szCs w:val="20"/>
        </w:rPr>
        <w:t>Quelle que soit la qualité du client et la cotation du risque de crédit, il est nécessaire de positionner une ligne de crédit pour chaque client, voire pour chaque prospect.</w:t>
      </w:r>
    </w:p>
    <w:p w:rsidR="007A3373" w:rsidRPr="003B0601" w:rsidRDefault="007A3373" w:rsidP="003B0601">
      <w:pPr>
        <w:pStyle w:val="revuetexte"/>
        <w:spacing w:after="60"/>
        <w:ind w:left="0"/>
        <w:jc w:val="both"/>
        <w:rPr>
          <w:rFonts w:ascii="Calibri" w:hAnsi="Calibri"/>
          <w:color w:val="002060"/>
          <w:sz w:val="21"/>
          <w:szCs w:val="21"/>
        </w:rPr>
      </w:pPr>
      <w:r w:rsidRPr="003B0601">
        <w:rPr>
          <w:rStyle w:val="lev"/>
          <w:rFonts w:ascii="Calibri" w:hAnsi="Calibri"/>
          <w:color w:val="002060"/>
          <w:sz w:val="21"/>
          <w:szCs w:val="21"/>
        </w:rPr>
        <w:t xml:space="preserve">Comment définir la limite de crédit ? </w:t>
      </w:r>
    </w:p>
    <w:p w:rsidR="007A3373" w:rsidRPr="0086696A" w:rsidRDefault="007A3373" w:rsidP="00FB1E5B">
      <w:pPr>
        <w:pStyle w:val="revuetexte"/>
        <w:spacing w:after="30"/>
        <w:ind w:left="0"/>
        <w:jc w:val="both"/>
        <w:rPr>
          <w:rFonts w:ascii="Calibri" w:hAnsi="Calibri"/>
          <w:color w:val="002060"/>
          <w:sz w:val="20"/>
          <w:szCs w:val="20"/>
        </w:rPr>
      </w:pPr>
      <w:r w:rsidRPr="0086696A">
        <w:rPr>
          <w:rFonts w:ascii="Calibri" w:hAnsi="Calibri"/>
          <w:color w:val="002060"/>
          <w:sz w:val="20"/>
          <w:szCs w:val="20"/>
        </w:rPr>
        <w:t xml:space="preserve">Cette ligne de crédit, qui correspond au niveau d'encours autorisé maximum vis-à-vis d'un client, doit couvrir plusieurs engagements : </w:t>
      </w:r>
    </w:p>
    <w:p w:rsidR="007A3373" w:rsidRPr="0086696A" w:rsidRDefault="007A3373" w:rsidP="00FB1E5B">
      <w:pPr>
        <w:pStyle w:val="revuetexte"/>
        <w:spacing w:after="30"/>
        <w:ind w:left="0"/>
        <w:jc w:val="both"/>
        <w:rPr>
          <w:rFonts w:ascii="Calibri" w:hAnsi="Calibri"/>
          <w:color w:val="002060"/>
          <w:sz w:val="20"/>
          <w:szCs w:val="20"/>
        </w:rPr>
      </w:pPr>
      <w:r w:rsidRPr="0086696A">
        <w:rPr>
          <w:rFonts w:ascii="Calibri" w:hAnsi="Calibri"/>
          <w:color w:val="002060"/>
          <w:sz w:val="20"/>
          <w:szCs w:val="20"/>
        </w:rPr>
        <w:t xml:space="preserve">- l'encours client non soldé (compte 411), </w:t>
      </w:r>
    </w:p>
    <w:p w:rsidR="007A3373" w:rsidRPr="0086696A" w:rsidRDefault="007A3373" w:rsidP="00FB1E5B">
      <w:pPr>
        <w:pStyle w:val="revuetexte"/>
        <w:spacing w:after="30"/>
        <w:ind w:left="0"/>
        <w:jc w:val="both"/>
        <w:rPr>
          <w:rFonts w:ascii="Calibri" w:hAnsi="Calibri"/>
          <w:color w:val="002060"/>
          <w:sz w:val="20"/>
          <w:szCs w:val="20"/>
        </w:rPr>
      </w:pPr>
      <w:r w:rsidRPr="0086696A">
        <w:rPr>
          <w:rFonts w:ascii="Calibri" w:hAnsi="Calibri"/>
          <w:color w:val="002060"/>
          <w:sz w:val="20"/>
          <w:szCs w:val="20"/>
        </w:rPr>
        <w:t xml:space="preserve">- les effets en portefeuille (compte 413), </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 les commandes en cours de préparation ainsi que les commandes livrées et non encore facturées.</w:t>
      </w:r>
    </w:p>
    <w:p w:rsidR="007A3373" w:rsidRPr="0086696A" w:rsidRDefault="007A3373" w:rsidP="0099584A">
      <w:pPr>
        <w:pStyle w:val="revuetexte"/>
        <w:spacing w:after="120"/>
        <w:ind w:left="0"/>
        <w:jc w:val="both"/>
        <w:rPr>
          <w:rFonts w:ascii="Calibri" w:hAnsi="Calibri"/>
          <w:color w:val="002060"/>
          <w:sz w:val="20"/>
          <w:szCs w:val="20"/>
        </w:rPr>
      </w:pPr>
      <w:r w:rsidRPr="0086696A">
        <w:rPr>
          <w:rFonts w:ascii="Calibri" w:hAnsi="Calibri"/>
          <w:color w:val="002060"/>
          <w:sz w:val="20"/>
          <w:szCs w:val="20"/>
        </w:rPr>
        <w:t>Certaines entreprises intègrent dans leur encours clients les titres de paiement susceptibles d'être rejetés par la banque (effets de commerce, chèques) pendant un délai de 8 à 15 jours.</w:t>
      </w:r>
    </w:p>
    <w:p w:rsidR="007A3373" w:rsidRPr="003B0601" w:rsidRDefault="007A3373" w:rsidP="0099584A">
      <w:pPr>
        <w:pStyle w:val="revuetexte"/>
        <w:spacing w:after="60"/>
        <w:ind w:left="0"/>
        <w:jc w:val="both"/>
        <w:rPr>
          <w:rFonts w:ascii="Calibri" w:hAnsi="Calibri"/>
          <w:color w:val="002060"/>
          <w:sz w:val="21"/>
          <w:szCs w:val="21"/>
        </w:rPr>
      </w:pPr>
      <w:r w:rsidRPr="003B0601">
        <w:rPr>
          <w:rStyle w:val="lev"/>
          <w:rFonts w:ascii="Calibri" w:hAnsi="Calibri"/>
          <w:color w:val="002060"/>
          <w:sz w:val="21"/>
          <w:szCs w:val="21"/>
        </w:rPr>
        <w:t xml:space="preserve">Bien l'utiliser : le contrôle crédit, révisable ou non </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À chaque fois qu'une commande saisie par le commercial ou l'administration des ventes porte l'encours calculé au-delà de l'encours autorisé, un contrôle crédit est établi. Il peut être automatisé pour les petits dépassements (en montant ou en pourcentage).</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Au-delà d'un seuil de tolérance, le dépassement est instruit par le cr</w:t>
      </w:r>
      <w:r w:rsidR="00643B5C" w:rsidRPr="0086696A">
        <w:rPr>
          <w:rFonts w:ascii="Calibri" w:hAnsi="Calibri"/>
          <w:color w:val="002060"/>
          <w:sz w:val="20"/>
          <w:szCs w:val="20"/>
        </w:rPr>
        <w:t>é</w:t>
      </w:r>
      <w:r w:rsidRPr="0086696A">
        <w:rPr>
          <w:rFonts w:ascii="Calibri" w:hAnsi="Calibri"/>
          <w:color w:val="002060"/>
          <w:sz w:val="20"/>
          <w:szCs w:val="20"/>
        </w:rPr>
        <w:t>dit manager. L'instruction tient compte du profil payeur client, des titres de paiement portés à l'encaissement et toujours dans l'encours. La ligne de crédit peut alors être révisée par la mise à jour des informations légales, commerciales et internes.</w:t>
      </w:r>
    </w:p>
    <w:p w:rsidR="007A3373" w:rsidRPr="0086696A" w:rsidRDefault="007A3373" w:rsidP="0099584A">
      <w:pPr>
        <w:pStyle w:val="revuetexte"/>
        <w:spacing w:after="120"/>
        <w:ind w:left="0"/>
        <w:jc w:val="both"/>
        <w:rPr>
          <w:rFonts w:ascii="Calibri" w:hAnsi="Calibri"/>
          <w:color w:val="002060"/>
          <w:sz w:val="20"/>
          <w:szCs w:val="20"/>
        </w:rPr>
      </w:pPr>
      <w:r w:rsidRPr="0086696A">
        <w:rPr>
          <w:rFonts w:ascii="Calibri" w:hAnsi="Calibri"/>
          <w:color w:val="002060"/>
          <w:sz w:val="20"/>
          <w:szCs w:val="20"/>
        </w:rPr>
        <w:t>Si la limite de crédit n'est pas révisable, la validation de la commande en dépassement d'encours autorisé peut être conditionnée par un paiement anticipé. De nombreuses entreprises privilégient alors un virement.</w:t>
      </w:r>
    </w:p>
    <w:p w:rsidR="007A3373" w:rsidRPr="003B0601" w:rsidRDefault="007A3373" w:rsidP="003B0601">
      <w:pPr>
        <w:pStyle w:val="revuesousintertitre"/>
        <w:spacing w:before="0" w:after="60"/>
        <w:ind w:left="0"/>
        <w:jc w:val="both"/>
        <w:rPr>
          <w:rFonts w:ascii="Calibri" w:hAnsi="Calibri"/>
          <w:color w:val="002060"/>
          <w:sz w:val="21"/>
          <w:szCs w:val="21"/>
        </w:rPr>
      </w:pPr>
      <w:r w:rsidRPr="003B0601">
        <w:rPr>
          <w:rStyle w:val="revuesousintertitre1"/>
          <w:rFonts w:ascii="Calibri" w:hAnsi="Calibri"/>
          <w:color w:val="002060"/>
          <w:sz w:val="21"/>
          <w:szCs w:val="21"/>
        </w:rPr>
        <w:t xml:space="preserve">Recourir à une méthode de points de risque </w:t>
      </w:r>
    </w:p>
    <w:p w:rsidR="0099584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Il n'est pas toujours aisé d'établir une limite de crédit sur la base des informations collectées. Si l'étude crédit ne révèle pas de risques particuliers, l'encours autorisé mis en place peut couvrir les ventes espérées.</w:t>
      </w:r>
    </w:p>
    <w:p w:rsidR="007A3373" w:rsidRPr="0086696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La méthode des points de risques est performante dès lors qu'il convient de coter un grand nombre d'entreprises et que l'on dispose d'informations parfaitement renseignées dans le fichier client.</w:t>
      </w:r>
    </w:p>
    <w:p w:rsidR="0099584A" w:rsidRDefault="007A3373" w:rsidP="003B0601">
      <w:pPr>
        <w:pStyle w:val="revuetexte"/>
        <w:spacing w:after="60"/>
        <w:ind w:left="0"/>
        <w:jc w:val="both"/>
        <w:rPr>
          <w:rFonts w:ascii="Calibri" w:hAnsi="Calibri"/>
          <w:color w:val="002060"/>
          <w:sz w:val="20"/>
          <w:szCs w:val="20"/>
        </w:rPr>
      </w:pPr>
      <w:r w:rsidRPr="0086696A">
        <w:rPr>
          <w:rFonts w:ascii="Calibri" w:hAnsi="Calibri"/>
          <w:color w:val="002060"/>
          <w:sz w:val="20"/>
          <w:szCs w:val="20"/>
        </w:rPr>
        <w:t>La première étape consiste à choisir les critères déterminants et à les positionner sur une échelle de risques : à chaque risque est associé un nombre de points. Plus le nombre de points est élevé, moins la limite de crédit sera haute.</w:t>
      </w:r>
    </w:p>
    <w:p w:rsidR="007A3373" w:rsidRPr="0086696A" w:rsidRDefault="007B033C" w:rsidP="0099584A">
      <w:pPr>
        <w:pStyle w:val="revuetexte"/>
        <w:spacing w:after="60"/>
        <w:ind w:left="0"/>
        <w:jc w:val="both"/>
        <w:rPr>
          <w:rFonts w:ascii="Calibri" w:hAnsi="Calibri"/>
          <w:color w:val="002060"/>
          <w:sz w:val="20"/>
          <w:szCs w:val="20"/>
        </w:rPr>
      </w:pPr>
      <w:r>
        <w:rPr>
          <w:rFonts w:ascii="Calibri" w:hAnsi="Calibri"/>
          <w:color w:val="002060"/>
          <w:sz w:val="20"/>
          <w:szCs w:val="20"/>
        </w:rPr>
        <w:t>Exemple : p</w:t>
      </w:r>
      <w:r w:rsidR="007A3373" w:rsidRPr="0086696A">
        <w:rPr>
          <w:rFonts w:ascii="Calibri" w:hAnsi="Calibri"/>
          <w:color w:val="002060"/>
          <w:sz w:val="20"/>
          <w:szCs w:val="20"/>
        </w:rPr>
        <w:t>our un distributeur de fournitures industrielles, les critères suivants, présents dans la base clients, pourraient convenir.</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1641"/>
        <w:gridCol w:w="2054"/>
        <w:gridCol w:w="2099"/>
        <w:gridCol w:w="2533"/>
        <w:gridCol w:w="1861"/>
      </w:tblGrid>
      <w:tr w:rsidR="0099584A" w:rsidRPr="0099584A" w:rsidTr="0099584A">
        <w:trPr>
          <w:tblCellSpacing w:w="0" w:type="dxa"/>
          <w:jc w:val="center"/>
        </w:trPr>
        <w:tc>
          <w:tcPr>
            <w:tcW w:w="10295"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99584A" w:rsidRDefault="007A3373" w:rsidP="00FB1E5B">
            <w:pPr>
              <w:spacing w:before="120" w:after="120"/>
              <w:jc w:val="center"/>
              <w:rPr>
                <w:rFonts w:ascii="Calibri" w:hAnsi="Calibri"/>
                <w:b/>
                <w:bCs/>
                <w:color w:val="002060"/>
                <w:sz w:val="20"/>
                <w:szCs w:val="16"/>
              </w:rPr>
            </w:pPr>
            <w:r w:rsidRPr="0099584A">
              <w:rPr>
                <w:rFonts w:ascii="Calibri" w:hAnsi="Calibri"/>
                <w:b/>
                <w:bCs/>
                <w:color w:val="002060"/>
                <w:szCs w:val="16"/>
              </w:rPr>
              <w:t>Exemples de critères d'attribution du crédit</w:t>
            </w:r>
          </w:p>
        </w:tc>
      </w:tr>
      <w:tr w:rsidR="0099584A" w:rsidRPr="0099584A" w:rsidTr="0099584A">
        <w:trPr>
          <w:tblCellSpacing w:w="0" w:type="dxa"/>
          <w:jc w:val="center"/>
        </w:trPr>
        <w:tc>
          <w:tcPr>
            <w:tcW w:w="164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99584A" w:rsidRDefault="007A3373" w:rsidP="007B033C">
            <w:pPr>
              <w:jc w:val="both"/>
              <w:rPr>
                <w:rFonts w:ascii="Calibri" w:hAnsi="Calibri"/>
                <w:b/>
                <w:bCs/>
                <w:color w:val="002060"/>
                <w:sz w:val="20"/>
                <w:szCs w:val="16"/>
              </w:rPr>
            </w:pPr>
          </w:p>
        </w:tc>
        <w:tc>
          <w:tcPr>
            <w:tcW w:w="208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500F92"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Sans risque</w:t>
            </w:r>
          </w:p>
          <w:p w:rsidR="007A3373"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(1 point)</w:t>
            </w:r>
          </w:p>
        </w:tc>
        <w:tc>
          <w:tcPr>
            <w:tcW w:w="212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500F92"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 xml:space="preserve">Faiblement risqué </w:t>
            </w:r>
          </w:p>
          <w:p w:rsidR="007A3373"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(2 points)</w:t>
            </w:r>
          </w:p>
        </w:tc>
        <w:tc>
          <w:tcPr>
            <w:tcW w:w="255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500F92"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Assez risqué</w:t>
            </w:r>
          </w:p>
          <w:p w:rsidR="007A3373"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 xml:space="preserve"> (3 points)</w:t>
            </w:r>
          </w:p>
        </w:tc>
        <w:tc>
          <w:tcPr>
            <w:tcW w:w="188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500F92"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Très risqué</w:t>
            </w:r>
          </w:p>
          <w:p w:rsidR="007A3373" w:rsidRPr="0099584A" w:rsidRDefault="007A3373" w:rsidP="00FB1E5B">
            <w:pPr>
              <w:spacing w:before="60" w:after="60"/>
              <w:jc w:val="center"/>
              <w:rPr>
                <w:rFonts w:ascii="Calibri" w:hAnsi="Calibri"/>
                <w:b/>
                <w:bCs/>
                <w:color w:val="002060"/>
                <w:sz w:val="20"/>
                <w:szCs w:val="16"/>
              </w:rPr>
            </w:pPr>
            <w:r w:rsidRPr="0099584A">
              <w:rPr>
                <w:rFonts w:ascii="Calibri" w:hAnsi="Calibri"/>
                <w:b/>
                <w:bCs/>
                <w:color w:val="002060"/>
                <w:sz w:val="20"/>
                <w:szCs w:val="16"/>
              </w:rPr>
              <w:t xml:space="preserve"> (4 points)</w:t>
            </w:r>
          </w:p>
        </w:tc>
      </w:tr>
      <w:tr w:rsidR="0099584A" w:rsidRPr="0099584A" w:rsidTr="00496D00">
        <w:trPr>
          <w:tblCellSpacing w:w="0" w:type="dxa"/>
          <w:jc w:val="center"/>
        </w:trPr>
        <w:tc>
          <w:tcPr>
            <w:tcW w:w="1644" w:type="dxa"/>
            <w:tcBorders>
              <w:top w:val="outset" w:sz="6" w:space="0" w:color="auto"/>
              <w:left w:val="outset" w:sz="6" w:space="0" w:color="auto"/>
              <w:bottom w:val="outset" w:sz="6" w:space="0" w:color="auto"/>
              <w:right w:val="outset" w:sz="6" w:space="0" w:color="auto"/>
            </w:tcBorders>
          </w:tcPr>
          <w:p w:rsidR="007A3373" w:rsidRPr="0099584A" w:rsidRDefault="007A3373" w:rsidP="00496D00">
            <w:pPr>
              <w:spacing w:before="60" w:after="60"/>
              <w:ind w:left="57"/>
              <w:jc w:val="both"/>
              <w:rPr>
                <w:rFonts w:ascii="Calibri" w:hAnsi="Calibri"/>
                <w:color w:val="002060"/>
                <w:sz w:val="20"/>
                <w:szCs w:val="16"/>
              </w:rPr>
            </w:pPr>
            <w:r w:rsidRPr="0099584A">
              <w:rPr>
                <w:rFonts w:ascii="Calibri" w:hAnsi="Calibri"/>
                <w:color w:val="002060"/>
                <w:sz w:val="20"/>
                <w:szCs w:val="16"/>
              </w:rPr>
              <w:t>Typologie client</w:t>
            </w:r>
          </w:p>
        </w:tc>
        <w:tc>
          <w:tcPr>
            <w:tcW w:w="2088"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Grand compte</w:t>
            </w:r>
          </w:p>
        </w:tc>
        <w:tc>
          <w:tcPr>
            <w:tcW w:w="2126"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Revendeur</w:t>
            </w:r>
          </w:p>
        </w:tc>
        <w:tc>
          <w:tcPr>
            <w:tcW w:w="2552"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Utilisateur</w:t>
            </w:r>
          </w:p>
        </w:tc>
        <w:tc>
          <w:tcPr>
            <w:tcW w:w="1885"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Particulier</w:t>
            </w:r>
          </w:p>
        </w:tc>
      </w:tr>
      <w:tr w:rsidR="0099584A" w:rsidRPr="0099584A" w:rsidTr="00496D00">
        <w:trPr>
          <w:tblCellSpacing w:w="0" w:type="dxa"/>
          <w:jc w:val="center"/>
        </w:trPr>
        <w:tc>
          <w:tcPr>
            <w:tcW w:w="1644" w:type="dxa"/>
            <w:tcBorders>
              <w:top w:val="outset" w:sz="6" w:space="0" w:color="auto"/>
              <w:left w:val="outset" w:sz="6" w:space="0" w:color="auto"/>
              <w:bottom w:val="outset" w:sz="6" w:space="0" w:color="auto"/>
              <w:right w:val="outset" w:sz="6" w:space="0" w:color="auto"/>
            </w:tcBorders>
          </w:tcPr>
          <w:p w:rsidR="007A3373" w:rsidRPr="0099584A" w:rsidRDefault="007A3373" w:rsidP="00496D00">
            <w:pPr>
              <w:spacing w:before="60" w:after="60"/>
              <w:ind w:left="57"/>
              <w:rPr>
                <w:rFonts w:ascii="Calibri" w:hAnsi="Calibri"/>
                <w:color w:val="002060"/>
                <w:sz w:val="20"/>
                <w:szCs w:val="16"/>
              </w:rPr>
            </w:pPr>
            <w:r w:rsidRPr="0099584A">
              <w:rPr>
                <w:rFonts w:ascii="Calibri" w:hAnsi="Calibri"/>
                <w:color w:val="002060"/>
                <w:sz w:val="20"/>
                <w:szCs w:val="16"/>
              </w:rPr>
              <w:t>Expérience de règlement</w:t>
            </w:r>
          </w:p>
        </w:tc>
        <w:tc>
          <w:tcPr>
            <w:tcW w:w="2088"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Aucun retard</w:t>
            </w:r>
          </w:p>
        </w:tc>
        <w:tc>
          <w:tcPr>
            <w:tcW w:w="2126"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Quelques relances</w:t>
            </w:r>
          </w:p>
        </w:tc>
        <w:tc>
          <w:tcPr>
            <w:tcW w:w="2552"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ind w:left="170"/>
              <w:rPr>
                <w:rFonts w:ascii="Calibri" w:hAnsi="Calibri"/>
                <w:color w:val="002060"/>
                <w:sz w:val="20"/>
                <w:szCs w:val="16"/>
              </w:rPr>
            </w:pPr>
            <w:r w:rsidRPr="0099584A">
              <w:rPr>
                <w:rFonts w:ascii="Calibri" w:hAnsi="Calibri"/>
                <w:color w:val="002060"/>
                <w:sz w:val="20"/>
                <w:szCs w:val="16"/>
              </w:rPr>
              <w:t xml:space="preserve">Paie systématiquement </w:t>
            </w:r>
            <w:r w:rsidR="00496D00">
              <w:rPr>
                <w:rFonts w:ascii="Calibri" w:hAnsi="Calibri"/>
                <w:color w:val="002060"/>
                <w:sz w:val="20"/>
                <w:szCs w:val="16"/>
              </w:rPr>
              <w:t xml:space="preserve">   </w:t>
            </w:r>
            <w:r w:rsidRPr="0099584A">
              <w:rPr>
                <w:rFonts w:ascii="Calibri" w:hAnsi="Calibri"/>
                <w:color w:val="002060"/>
                <w:sz w:val="20"/>
                <w:szCs w:val="16"/>
              </w:rPr>
              <w:t>avec du retard</w:t>
            </w:r>
          </w:p>
        </w:tc>
        <w:tc>
          <w:tcPr>
            <w:tcW w:w="1885"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Nouveau client</w:t>
            </w:r>
          </w:p>
        </w:tc>
      </w:tr>
      <w:tr w:rsidR="0099584A" w:rsidRPr="0099584A" w:rsidTr="00496D00">
        <w:trPr>
          <w:tblCellSpacing w:w="0" w:type="dxa"/>
          <w:jc w:val="center"/>
        </w:trPr>
        <w:tc>
          <w:tcPr>
            <w:tcW w:w="1644" w:type="dxa"/>
            <w:tcBorders>
              <w:top w:val="outset" w:sz="6" w:space="0" w:color="auto"/>
              <w:left w:val="outset" w:sz="6" w:space="0" w:color="auto"/>
              <w:bottom w:val="outset" w:sz="6" w:space="0" w:color="auto"/>
              <w:right w:val="outset" w:sz="6" w:space="0" w:color="auto"/>
            </w:tcBorders>
          </w:tcPr>
          <w:p w:rsidR="007A3373" w:rsidRPr="0099584A" w:rsidRDefault="007A3373" w:rsidP="00496D00">
            <w:pPr>
              <w:spacing w:before="60" w:after="60"/>
              <w:ind w:left="57"/>
              <w:rPr>
                <w:rFonts w:ascii="Calibri" w:hAnsi="Calibri"/>
                <w:color w:val="002060"/>
                <w:sz w:val="20"/>
                <w:szCs w:val="16"/>
              </w:rPr>
            </w:pPr>
            <w:r w:rsidRPr="0099584A">
              <w:rPr>
                <w:rFonts w:ascii="Calibri" w:hAnsi="Calibri"/>
                <w:color w:val="002060"/>
                <w:sz w:val="20"/>
                <w:szCs w:val="16"/>
              </w:rPr>
              <w:t>Fonds propres de l'entreprise</w:t>
            </w:r>
          </w:p>
        </w:tc>
        <w:tc>
          <w:tcPr>
            <w:tcW w:w="2088"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&gt; 30 % du total du bilan</w:t>
            </w:r>
          </w:p>
        </w:tc>
        <w:tc>
          <w:tcPr>
            <w:tcW w:w="2126" w:type="dxa"/>
            <w:tcBorders>
              <w:top w:val="outset" w:sz="6" w:space="0" w:color="auto"/>
              <w:left w:val="outset" w:sz="6" w:space="0" w:color="auto"/>
              <w:bottom w:val="outset" w:sz="6" w:space="0" w:color="auto"/>
              <w:right w:val="outset" w:sz="6" w:space="0" w:color="auto"/>
            </w:tcBorders>
            <w:vAlign w:val="center"/>
          </w:tcPr>
          <w:p w:rsidR="007A3373" w:rsidRPr="0099584A" w:rsidRDefault="0099584A" w:rsidP="00496D00">
            <w:pPr>
              <w:spacing w:before="60" w:after="60"/>
              <w:jc w:val="center"/>
              <w:rPr>
                <w:rFonts w:ascii="Calibri" w:hAnsi="Calibri"/>
                <w:color w:val="002060"/>
                <w:sz w:val="20"/>
                <w:szCs w:val="16"/>
              </w:rPr>
            </w:pPr>
            <w:r>
              <w:rPr>
                <w:rFonts w:ascii="Calibri" w:hAnsi="Calibri"/>
                <w:color w:val="002060"/>
                <w:sz w:val="20"/>
                <w:szCs w:val="16"/>
              </w:rPr>
              <w:t xml:space="preserve">&lt; Dette financière </w:t>
            </w:r>
            <w:r w:rsidR="007A3373" w:rsidRPr="0099584A">
              <w:rPr>
                <w:rFonts w:ascii="Calibri" w:hAnsi="Calibri"/>
                <w:color w:val="002060"/>
                <w:sz w:val="20"/>
                <w:szCs w:val="16"/>
              </w:rPr>
              <w:t xml:space="preserve">MLT </w:t>
            </w:r>
            <w:r w:rsidR="00496D00">
              <w:rPr>
                <w:rFonts w:ascii="Calibri" w:hAnsi="Calibri"/>
                <w:color w:val="002060"/>
                <w:sz w:val="20"/>
                <w:szCs w:val="16"/>
              </w:rPr>
              <w:t xml:space="preserve">  </w:t>
            </w:r>
            <w:r w:rsidR="007A3373" w:rsidRPr="0099584A">
              <w:rPr>
                <w:rFonts w:ascii="Calibri" w:hAnsi="Calibri"/>
                <w:color w:val="002060"/>
                <w:sz w:val="20"/>
                <w:szCs w:val="16"/>
              </w:rPr>
              <w:t>et &lt; 30 % du total bilan</w:t>
            </w:r>
          </w:p>
        </w:tc>
        <w:tc>
          <w:tcPr>
            <w:tcW w:w="2552"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ind w:left="57"/>
              <w:rPr>
                <w:rFonts w:ascii="Calibri" w:hAnsi="Calibri"/>
                <w:color w:val="002060"/>
                <w:sz w:val="20"/>
                <w:szCs w:val="16"/>
              </w:rPr>
            </w:pPr>
            <w:r w:rsidRPr="0099584A">
              <w:rPr>
                <w:rFonts w:ascii="Calibri" w:hAnsi="Calibri"/>
                <w:color w:val="002060"/>
                <w:sz w:val="20"/>
                <w:szCs w:val="16"/>
              </w:rPr>
              <w:t>Entre 0 et 30 % du total bilan et &gt; Dette financière MLT</w:t>
            </w:r>
          </w:p>
        </w:tc>
        <w:tc>
          <w:tcPr>
            <w:tcW w:w="1885"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99584A">
            <w:pPr>
              <w:spacing w:before="60" w:after="60"/>
              <w:rPr>
                <w:rFonts w:ascii="Calibri" w:hAnsi="Calibri"/>
                <w:color w:val="002060"/>
                <w:sz w:val="20"/>
                <w:szCs w:val="16"/>
              </w:rPr>
            </w:pPr>
            <w:r w:rsidRPr="0099584A">
              <w:rPr>
                <w:rFonts w:ascii="Calibri" w:hAnsi="Calibri"/>
                <w:color w:val="002060"/>
                <w:sz w:val="20"/>
                <w:szCs w:val="16"/>
              </w:rPr>
              <w:t>Négatifs</w:t>
            </w:r>
          </w:p>
        </w:tc>
      </w:tr>
      <w:tr w:rsidR="0099584A" w:rsidRPr="0099584A" w:rsidTr="00496D00">
        <w:trPr>
          <w:tblCellSpacing w:w="0" w:type="dxa"/>
          <w:jc w:val="center"/>
        </w:trPr>
        <w:tc>
          <w:tcPr>
            <w:tcW w:w="1644" w:type="dxa"/>
            <w:tcBorders>
              <w:top w:val="outset" w:sz="6" w:space="0" w:color="auto"/>
              <w:left w:val="outset" w:sz="6" w:space="0" w:color="auto"/>
              <w:bottom w:val="outset" w:sz="6" w:space="0" w:color="auto"/>
              <w:right w:val="outset" w:sz="6" w:space="0" w:color="auto"/>
            </w:tcBorders>
          </w:tcPr>
          <w:p w:rsidR="007A3373" w:rsidRPr="0099584A" w:rsidRDefault="007A3373" w:rsidP="00496D00">
            <w:pPr>
              <w:spacing w:before="60" w:after="60"/>
              <w:ind w:left="57"/>
              <w:jc w:val="both"/>
              <w:rPr>
                <w:rFonts w:ascii="Calibri" w:hAnsi="Calibri"/>
                <w:color w:val="002060"/>
                <w:sz w:val="20"/>
                <w:szCs w:val="16"/>
              </w:rPr>
            </w:pPr>
            <w:r w:rsidRPr="0099584A">
              <w:rPr>
                <w:rFonts w:ascii="Calibri" w:hAnsi="Calibri"/>
                <w:color w:val="002060"/>
                <w:sz w:val="20"/>
                <w:szCs w:val="16"/>
              </w:rPr>
              <w:t>Résultat d'exploitation/CA</w:t>
            </w:r>
          </w:p>
        </w:tc>
        <w:tc>
          <w:tcPr>
            <w:tcW w:w="2088"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&gt; 15 %</w:t>
            </w:r>
          </w:p>
        </w:tc>
        <w:tc>
          <w:tcPr>
            <w:tcW w:w="2126"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5 à 15 %</w:t>
            </w:r>
          </w:p>
        </w:tc>
        <w:tc>
          <w:tcPr>
            <w:tcW w:w="2552"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0 à 5 %</w:t>
            </w:r>
          </w:p>
        </w:tc>
        <w:tc>
          <w:tcPr>
            <w:tcW w:w="1885" w:type="dxa"/>
            <w:tcBorders>
              <w:top w:val="outset" w:sz="6" w:space="0" w:color="auto"/>
              <w:left w:val="outset" w:sz="6" w:space="0" w:color="auto"/>
              <w:bottom w:val="outset" w:sz="6" w:space="0" w:color="auto"/>
              <w:right w:val="outset" w:sz="6" w:space="0" w:color="auto"/>
            </w:tcBorders>
            <w:vAlign w:val="center"/>
          </w:tcPr>
          <w:p w:rsidR="007A3373" w:rsidRPr="0099584A" w:rsidRDefault="007A3373" w:rsidP="00496D00">
            <w:pPr>
              <w:spacing w:before="60" w:after="60"/>
              <w:jc w:val="center"/>
              <w:rPr>
                <w:rFonts w:ascii="Calibri" w:hAnsi="Calibri"/>
                <w:color w:val="002060"/>
                <w:sz w:val="20"/>
                <w:szCs w:val="16"/>
              </w:rPr>
            </w:pPr>
            <w:r w:rsidRPr="0099584A">
              <w:rPr>
                <w:rFonts w:ascii="Calibri" w:hAnsi="Calibri"/>
                <w:color w:val="002060"/>
                <w:sz w:val="20"/>
                <w:szCs w:val="16"/>
              </w:rPr>
              <w:t>Négatifs</w:t>
            </w:r>
          </w:p>
        </w:tc>
      </w:tr>
    </w:tbl>
    <w:p w:rsidR="007A3373" w:rsidRPr="0086696A" w:rsidRDefault="007A3373" w:rsidP="007B033C">
      <w:pPr>
        <w:jc w:val="both"/>
        <w:rPr>
          <w:rFonts w:ascii="Calibri" w:hAnsi="Calibri"/>
          <w:color w:val="002060"/>
          <w:sz w:val="15"/>
          <w:szCs w:val="15"/>
        </w:rPr>
      </w:pPr>
    </w:p>
    <w:p w:rsidR="007A3373" w:rsidRDefault="007B033C" w:rsidP="00496D00">
      <w:pPr>
        <w:pStyle w:val="revuetexte"/>
        <w:spacing w:after="60"/>
        <w:ind w:left="0"/>
        <w:jc w:val="both"/>
        <w:rPr>
          <w:rFonts w:ascii="Calibri" w:hAnsi="Calibri"/>
          <w:color w:val="002060"/>
          <w:sz w:val="20"/>
          <w:szCs w:val="20"/>
        </w:rPr>
      </w:pPr>
      <w:r>
        <w:rPr>
          <w:rFonts w:ascii="Calibri" w:hAnsi="Calibri"/>
          <w:color w:val="002060"/>
          <w:sz w:val="20"/>
          <w:szCs w:val="20"/>
        </w:rPr>
        <w:t xml:space="preserve">Exemple : </w:t>
      </w:r>
      <w:r w:rsidR="007A3373" w:rsidRPr="0086696A">
        <w:rPr>
          <w:rFonts w:ascii="Calibri" w:hAnsi="Calibri"/>
          <w:color w:val="002060"/>
          <w:sz w:val="20"/>
          <w:szCs w:val="20"/>
        </w:rPr>
        <w:t>Il suffit alors d'établir une grille d'attribution des limites de crédit en fonction du nombre de points calculé. Si l'entreprise ne retient que ces 4 critères, elle peut établir la grille suivant</w:t>
      </w:r>
      <w:r w:rsidR="00FB1E5B">
        <w:rPr>
          <w:rFonts w:ascii="Calibri" w:hAnsi="Calibri"/>
          <w:color w:val="002060"/>
          <w:sz w:val="20"/>
          <w:szCs w:val="20"/>
        </w:rPr>
        <w:t>e :</w:t>
      </w:r>
    </w:p>
    <w:p w:rsidR="00FB1E5B" w:rsidRDefault="00FB1E5B" w:rsidP="00496D00">
      <w:pPr>
        <w:pStyle w:val="revuetexte"/>
        <w:spacing w:after="60"/>
        <w:ind w:left="0"/>
        <w:jc w:val="both"/>
        <w:rPr>
          <w:rFonts w:ascii="Calibri" w:hAnsi="Calibri"/>
          <w:color w:val="002060"/>
          <w:sz w:val="20"/>
          <w:szCs w:val="20"/>
        </w:rPr>
      </w:pP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1590"/>
        <w:gridCol w:w="1386"/>
      </w:tblGrid>
      <w:tr w:rsidR="00FC590B" w:rsidRPr="0086696A">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FC590B" w:rsidRDefault="007A3373" w:rsidP="00F21C25">
            <w:pPr>
              <w:jc w:val="both"/>
              <w:rPr>
                <w:rFonts w:ascii="Calibri" w:hAnsi="Calibri"/>
                <w:b/>
                <w:bCs/>
                <w:color w:val="002060"/>
                <w:sz w:val="20"/>
                <w:szCs w:val="16"/>
              </w:rPr>
            </w:pPr>
            <w:r w:rsidRPr="00FC590B">
              <w:rPr>
                <w:rFonts w:ascii="Calibri" w:hAnsi="Calibri"/>
                <w:b/>
                <w:bCs/>
                <w:color w:val="002060"/>
                <w:sz w:val="20"/>
                <w:szCs w:val="16"/>
              </w:rPr>
              <w:t>Nombre de points</w:t>
            </w:r>
          </w:p>
        </w:tc>
        <w:tc>
          <w:tcPr>
            <w:tcW w:w="0" w:type="auto"/>
            <w:tcBorders>
              <w:top w:val="outset" w:sz="6" w:space="0" w:color="auto"/>
              <w:left w:val="outset" w:sz="6" w:space="0" w:color="auto"/>
              <w:bottom w:val="outset" w:sz="6" w:space="0" w:color="auto"/>
              <w:right w:val="outset" w:sz="6" w:space="0" w:color="auto"/>
            </w:tcBorders>
          </w:tcPr>
          <w:p w:rsidR="007A3373" w:rsidRPr="00FC590B" w:rsidRDefault="007A3373" w:rsidP="00F21C25">
            <w:pPr>
              <w:jc w:val="both"/>
              <w:rPr>
                <w:rFonts w:ascii="Calibri" w:hAnsi="Calibri"/>
                <w:b/>
                <w:bCs/>
                <w:color w:val="002060"/>
                <w:sz w:val="20"/>
                <w:szCs w:val="16"/>
              </w:rPr>
            </w:pPr>
            <w:r w:rsidRPr="00FC590B">
              <w:rPr>
                <w:rFonts w:ascii="Calibri" w:hAnsi="Calibri"/>
                <w:b/>
                <w:bCs/>
                <w:color w:val="002060"/>
                <w:sz w:val="20"/>
                <w:szCs w:val="16"/>
              </w:rPr>
              <w:t>Limite de crédit</w:t>
            </w:r>
          </w:p>
        </w:tc>
      </w:tr>
      <w:tr w:rsidR="00FC590B" w:rsidRPr="0086696A" w:rsidTr="00496D00">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FC590B" w:rsidRDefault="00496D00" w:rsidP="00F21C25">
            <w:pPr>
              <w:jc w:val="both"/>
              <w:rPr>
                <w:rFonts w:ascii="Calibri" w:hAnsi="Calibri"/>
                <w:color w:val="002060"/>
                <w:sz w:val="20"/>
                <w:szCs w:val="16"/>
              </w:rPr>
            </w:pPr>
            <w:r>
              <w:rPr>
                <w:rFonts w:ascii="Calibri" w:hAnsi="Calibri"/>
                <w:color w:val="002060"/>
                <w:sz w:val="20"/>
                <w:szCs w:val="16"/>
              </w:rPr>
              <w:t xml:space="preserve"> </w:t>
            </w:r>
            <w:r w:rsidR="007A3373" w:rsidRPr="00FC590B">
              <w:rPr>
                <w:rFonts w:ascii="Calibri" w:hAnsi="Calibri"/>
                <w:color w:val="002060"/>
                <w:sz w:val="20"/>
                <w:szCs w:val="16"/>
              </w:rPr>
              <w:t>4 points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FC590B" w:rsidRDefault="007A3373" w:rsidP="00496D00">
            <w:pPr>
              <w:jc w:val="right"/>
              <w:rPr>
                <w:rFonts w:ascii="Calibri" w:hAnsi="Calibri"/>
                <w:color w:val="002060"/>
                <w:sz w:val="20"/>
                <w:szCs w:val="16"/>
              </w:rPr>
            </w:pPr>
            <w:r w:rsidRPr="00FC590B">
              <w:rPr>
                <w:rFonts w:ascii="Calibri" w:hAnsi="Calibri"/>
                <w:color w:val="002060"/>
                <w:sz w:val="20"/>
                <w:szCs w:val="16"/>
              </w:rPr>
              <w:t>20 000 €</w:t>
            </w:r>
          </w:p>
        </w:tc>
      </w:tr>
      <w:tr w:rsidR="00FC590B" w:rsidRPr="0086696A" w:rsidTr="00496D00">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FC590B" w:rsidRDefault="00496D00" w:rsidP="00F21C25">
            <w:pPr>
              <w:jc w:val="both"/>
              <w:rPr>
                <w:rFonts w:ascii="Calibri" w:hAnsi="Calibri"/>
                <w:color w:val="002060"/>
                <w:sz w:val="20"/>
                <w:szCs w:val="16"/>
              </w:rPr>
            </w:pPr>
            <w:r>
              <w:rPr>
                <w:rFonts w:ascii="Calibri" w:hAnsi="Calibri"/>
                <w:color w:val="002060"/>
                <w:sz w:val="20"/>
                <w:szCs w:val="16"/>
              </w:rPr>
              <w:t xml:space="preserve"> </w:t>
            </w:r>
            <w:r w:rsidR="007A3373" w:rsidRPr="00FC590B">
              <w:rPr>
                <w:rFonts w:ascii="Calibri" w:hAnsi="Calibri"/>
                <w:color w:val="002060"/>
                <w:sz w:val="20"/>
                <w:szCs w:val="16"/>
              </w:rPr>
              <w:t>5 à 8 points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FC590B" w:rsidRDefault="007A3373" w:rsidP="00496D00">
            <w:pPr>
              <w:jc w:val="right"/>
              <w:rPr>
                <w:rFonts w:ascii="Calibri" w:hAnsi="Calibri"/>
                <w:color w:val="002060"/>
                <w:sz w:val="20"/>
                <w:szCs w:val="16"/>
              </w:rPr>
            </w:pPr>
            <w:r w:rsidRPr="00FC590B">
              <w:rPr>
                <w:rFonts w:ascii="Calibri" w:hAnsi="Calibri"/>
                <w:color w:val="002060"/>
                <w:sz w:val="20"/>
                <w:szCs w:val="16"/>
              </w:rPr>
              <w:t>12 000 €</w:t>
            </w:r>
          </w:p>
        </w:tc>
      </w:tr>
      <w:tr w:rsidR="00FC590B" w:rsidRPr="0086696A" w:rsidTr="00496D00">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FC590B" w:rsidRDefault="00496D00" w:rsidP="00F21C25">
            <w:pPr>
              <w:jc w:val="both"/>
              <w:rPr>
                <w:rFonts w:ascii="Calibri" w:hAnsi="Calibri"/>
                <w:color w:val="002060"/>
                <w:sz w:val="20"/>
                <w:szCs w:val="16"/>
              </w:rPr>
            </w:pPr>
            <w:r>
              <w:rPr>
                <w:rFonts w:ascii="Calibri" w:hAnsi="Calibri"/>
                <w:color w:val="002060"/>
                <w:sz w:val="20"/>
                <w:szCs w:val="16"/>
              </w:rPr>
              <w:t xml:space="preserve"> </w:t>
            </w:r>
            <w:r w:rsidR="007A3373" w:rsidRPr="00FC590B">
              <w:rPr>
                <w:rFonts w:ascii="Calibri" w:hAnsi="Calibri"/>
                <w:color w:val="002060"/>
                <w:sz w:val="20"/>
                <w:szCs w:val="16"/>
              </w:rPr>
              <w:t>9 à 12 points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FC590B" w:rsidRDefault="007A3373" w:rsidP="00496D00">
            <w:pPr>
              <w:jc w:val="right"/>
              <w:rPr>
                <w:rFonts w:ascii="Calibri" w:hAnsi="Calibri"/>
                <w:color w:val="002060"/>
                <w:sz w:val="20"/>
                <w:szCs w:val="16"/>
              </w:rPr>
            </w:pPr>
            <w:r w:rsidRPr="00FC590B">
              <w:rPr>
                <w:rFonts w:ascii="Calibri" w:hAnsi="Calibri"/>
                <w:color w:val="002060"/>
                <w:sz w:val="20"/>
                <w:szCs w:val="16"/>
              </w:rPr>
              <w:t>5 000 €</w:t>
            </w:r>
          </w:p>
        </w:tc>
      </w:tr>
      <w:tr w:rsidR="00FC590B" w:rsidRPr="0086696A" w:rsidTr="00496D00">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FC590B" w:rsidRDefault="00496D00" w:rsidP="00F21C25">
            <w:pPr>
              <w:jc w:val="both"/>
              <w:rPr>
                <w:rFonts w:ascii="Calibri" w:hAnsi="Calibri"/>
                <w:color w:val="002060"/>
                <w:sz w:val="20"/>
                <w:szCs w:val="16"/>
              </w:rPr>
            </w:pPr>
            <w:r>
              <w:rPr>
                <w:rFonts w:ascii="Calibri" w:hAnsi="Calibri"/>
                <w:color w:val="002060"/>
                <w:sz w:val="20"/>
                <w:szCs w:val="16"/>
              </w:rPr>
              <w:t xml:space="preserve"> </w:t>
            </w:r>
            <w:r w:rsidR="007A3373" w:rsidRPr="00FC590B">
              <w:rPr>
                <w:rFonts w:ascii="Calibri" w:hAnsi="Calibri"/>
                <w:color w:val="002060"/>
                <w:sz w:val="20"/>
                <w:szCs w:val="16"/>
              </w:rPr>
              <w:t>13 à 16 points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FC590B" w:rsidRDefault="007A3373" w:rsidP="00496D00">
            <w:pPr>
              <w:jc w:val="right"/>
              <w:rPr>
                <w:rFonts w:ascii="Calibri" w:hAnsi="Calibri"/>
                <w:color w:val="002060"/>
                <w:sz w:val="20"/>
                <w:szCs w:val="16"/>
              </w:rPr>
            </w:pPr>
            <w:r w:rsidRPr="00FC590B">
              <w:rPr>
                <w:rFonts w:ascii="Calibri" w:hAnsi="Calibri"/>
                <w:color w:val="002060"/>
                <w:sz w:val="20"/>
                <w:szCs w:val="16"/>
              </w:rPr>
              <w:t>0 €</w:t>
            </w:r>
          </w:p>
        </w:tc>
      </w:tr>
    </w:tbl>
    <w:p w:rsidR="007A3373" w:rsidRPr="0086696A" w:rsidRDefault="007A3373" w:rsidP="00FB1E5B">
      <w:pPr>
        <w:pStyle w:val="revuetexte"/>
        <w:spacing w:before="120" w:after="0"/>
        <w:ind w:left="0"/>
        <w:jc w:val="both"/>
        <w:rPr>
          <w:rFonts w:ascii="Calibri" w:hAnsi="Calibri"/>
          <w:color w:val="002060"/>
          <w:sz w:val="20"/>
          <w:szCs w:val="20"/>
        </w:rPr>
      </w:pPr>
      <w:r w:rsidRPr="0086696A">
        <w:rPr>
          <w:rFonts w:ascii="Calibri" w:hAnsi="Calibri"/>
          <w:color w:val="002060"/>
          <w:sz w:val="20"/>
          <w:szCs w:val="20"/>
        </w:rPr>
        <w:t>La méthode est ensuite prise en charge par l'informatique pour une attribution automatique de limite de crédit à chaque ouverture de comptes, ainsi qu'à chaque modification des critères sur les fiches clients.</w:t>
      </w:r>
    </w:p>
    <w:p w:rsidR="00FC590B" w:rsidRDefault="007A3373" w:rsidP="00FC590B">
      <w:pPr>
        <w:pStyle w:val="revuetexte"/>
        <w:spacing w:after="0"/>
        <w:ind w:left="0"/>
        <w:jc w:val="both"/>
        <w:rPr>
          <w:rFonts w:ascii="Calibri" w:hAnsi="Calibri"/>
          <w:color w:val="002060"/>
          <w:sz w:val="20"/>
          <w:szCs w:val="20"/>
        </w:rPr>
      </w:pPr>
      <w:r w:rsidRPr="0086696A">
        <w:rPr>
          <w:rFonts w:ascii="Calibri" w:hAnsi="Calibri"/>
          <w:color w:val="002060"/>
          <w:sz w:val="20"/>
          <w:szCs w:val="20"/>
        </w:rPr>
        <w:t>Cette méthode est performante, parce qu'elle oblige à collecter de l'information sur les clients et permet de traiter automatiquement la majorité des situations, le cr</w:t>
      </w:r>
      <w:r w:rsidR="00643B5C" w:rsidRPr="0086696A">
        <w:rPr>
          <w:rFonts w:ascii="Calibri" w:hAnsi="Calibri"/>
          <w:color w:val="002060"/>
          <w:sz w:val="20"/>
          <w:szCs w:val="20"/>
        </w:rPr>
        <w:t>é</w:t>
      </w:r>
      <w:r w:rsidRPr="0086696A">
        <w:rPr>
          <w:rFonts w:ascii="Calibri" w:hAnsi="Calibri"/>
          <w:color w:val="002060"/>
          <w:sz w:val="20"/>
          <w:szCs w:val="20"/>
        </w:rPr>
        <w:t xml:space="preserve">dit manager apportant sa valeur ajoutée sur les cas les plus complexes ou stratégiques. Mais elle est contraignante : </w:t>
      </w:r>
    </w:p>
    <w:p w:rsidR="00FC590B" w:rsidRDefault="007A3373" w:rsidP="00FC590B">
      <w:pPr>
        <w:pStyle w:val="revuetexte"/>
        <w:spacing w:after="0"/>
        <w:ind w:left="0"/>
        <w:jc w:val="both"/>
        <w:rPr>
          <w:rFonts w:ascii="Calibri" w:hAnsi="Calibri"/>
          <w:color w:val="002060"/>
          <w:sz w:val="20"/>
          <w:szCs w:val="20"/>
        </w:rPr>
      </w:pPr>
      <w:r w:rsidRPr="0086696A">
        <w:rPr>
          <w:rFonts w:ascii="Calibri" w:hAnsi="Calibri"/>
          <w:color w:val="002060"/>
          <w:sz w:val="20"/>
          <w:szCs w:val="20"/>
        </w:rPr>
        <w:t>- empirique, elle nécessite un choix judicieux des critères et une pondération habile ;</w:t>
      </w:r>
    </w:p>
    <w:p w:rsidR="00FC590B" w:rsidRDefault="007A3373" w:rsidP="00FC590B">
      <w:pPr>
        <w:pStyle w:val="revuetexte"/>
        <w:spacing w:after="0"/>
        <w:ind w:left="0"/>
        <w:jc w:val="both"/>
        <w:rPr>
          <w:rFonts w:ascii="Calibri" w:hAnsi="Calibri"/>
          <w:color w:val="002060"/>
          <w:sz w:val="20"/>
          <w:szCs w:val="20"/>
        </w:rPr>
      </w:pPr>
      <w:r w:rsidRPr="0086696A">
        <w:rPr>
          <w:rFonts w:ascii="Calibri" w:hAnsi="Calibri"/>
          <w:color w:val="002060"/>
          <w:sz w:val="20"/>
          <w:szCs w:val="20"/>
        </w:rPr>
        <w:t>- la base client doit être mise à jour avec beaucoup de rigueur et très régulièrement ;</w:t>
      </w:r>
    </w:p>
    <w:p w:rsidR="007A3373" w:rsidRPr="0086696A" w:rsidRDefault="007A3373" w:rsidP="00FC590B">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 les développements informatiques peuvent être lourds si l'entreprise n'a pas de logiciel dédié au </w:t>
      </w:r>
      <w:r w:rsidR="00FC590B" w:rsidRPr="0086696A">
        <w:rPr>
          <w:rFonts w:ascii="Calibri" w:hAnsi="Calibri"/>
          <w:color w:val="002060"/>
          <w:sz w:val="20"/>
          <w:szCs w:val="20"/>
        </w:rPr>
        <w:t>crédit</w:t>
      </w:r>
      <w:r w:rsidRPr="0086696A">
        <w:rPr>
          <w:rFonts w:ascii="Calibri" w:hAnsi="Calibri"/>
          <w:color w:val="002060"/>
          <w:sz w:val="20"/>
          <w:szCs w:val="20"/>
        </w:rPr>
        <w:t xml:space="preserve"> management.</w:t>
      </w:r>
    </w:p>
    <w:p w:rsidR="007A3373" w:rsidRPr="007B033C" w:rsidRDefault="007A3373" w:rsidP="00FC590B">
      <w:pPr>
        <w:pStyle w:val="revuesousintertitre"/>
        <w:spacing w:before="0" w:after="60"/>
        <w:ind w:left="0"/>
        <w:rPr>
          <w:rFonts w:ascii="Calibri" w:hAnsi="Calibri"/>
          <w:color w:val="002060"/>
          <w:sz w:val="21"/>
          <w:szCs w:val="21"/>
        </w:rPr>
      </w:pPr>
      <w:r w:rsidRPr="007B033C">
        <w:rPr>
          <w:rStyle w:val="revuesousintertitre1"/>
          <w:rFonts w:ascii="Calibri" w:hAnsi="Calibri"/>
          <w:color w:val="002060"/>
          <w:sz w:val="21"/>
          <w:szCs w:val="21"/>
        </w:rPr>
        <w:t xml:space="preserve">Les cotations des assureurs-crédit et des affactureurs </w:t>
      </w:r>
    </w:p>
    <w:p w:rsidR="007A3373" w:rsidRPr="0086696A" w:rsidRDefault="007A3373" w:rsidP="00925BA6">
      <w:pPr>
        <w:pStyle w:val="revuetexte"/>
        <w:spacing w:after="0"/>
        <w:ind w:left="0"/>
        <w:rPr>
          <w:rFonts w:ascii="Calibri" w:hAnsi="Calibri"/>
          <w:color w:val="002060"/>
          <w:sz w:val="20"/>
          <w:szCs w:val="20"/>
        </w:rPr>
      </w:pPr>
      <w:r w:rsidRPr="0086696A">
        <w:rPr>
          <w:rFonts w:ascii="Calibri" w:hAnsi="Calibri"/>
          <w:color w:val="002060"/>
          <w:sz w:val="20"/>
          <w:szCs w:val="20"/>
        </w:rPr>
        <w:t>La cotation des risques par ces organismes est habituellement de qualité, puisque l'encours autorisé, appelé agrément, est assuré contre le risque d'impayé.</w:t>
      </w:r>
    </w:p>
    <w:p w:rsidR="007A3373" w:rsidRPr="0086696A" w:rsidRDefault="007A3373" w:rsidP="00925BA6">
      <w:pPr>
        <w:pStyle w:val="revuetexte"/>
        <w:spacing w:after="0"/>
        <w:ind w:left="0"/>
        <w:jc w:val="both"/>
        <w:rPr>
          <w:rFonts w:ascii="Calibri" w:hAnsi="Calibri"/>
          <w:color w:val="002060"/>
          <w:sz w:val="20"/>
          <w:szCs w:val="20"/>
        </w:rPr>
      </w:pPr>
      <w:r w:rsidRPr="0086696A">
        <w:rPr>
          <w:rFonts w:ascii="Calibri" w:hAnsi="Calibri"/>
          <w:color w:val="002060"/>
          <w:sz w:val="20"/>
          <w:szCs w:val="20"/>
        </w:rPr>
        <w:t xml:space="preserve">De plus, ces établissements disposent d'informations que les entreprises n'ont pas (cotations Banque de France, lignes de financement bancaires, impayés déclarés à la Banque de France...) ainsi que du </w:t>
      </w:r>
      <w:r w:rsidR="00FB1E5B" w:rsidRPr="0086696A">
        <w:rPr>
          <w:rFonts w:ascii="Calibri" w:hAnsi="Calibri"/>
          <w:color w:val="002060"/>
          <w:sz w:val="20"/>
          <w:szCs w:val="20"/>
        </w:rPr>
        <w:t>professionnalisme</w:t>
      </w:r>
      <w:r w:rsidRPr="0086696A">
        <w:rPr>
          <w:rFonts w:ascii="Calibri" w:hAnsi="Calibri"/>
          <w:color w:val="002060"/>
          <w:sz w:val="20"/>
          <w:szCs w:val="20"/>
        </w:rPr>
        <w:t xml:space="preserve"> d'analystes-crédit confirmés.</w:t>
      </w:r>
    </w:p>
    <w:p w:rsidR="00FC590B" w:rsidRDefault="007A3373" w:rsidP="00FC590B">
      <w:pPr>
        <w:pStyle w:val="revuetexte"/>
        <w:spacing w:after="60"/>
        <w:ind w:left="0"/>
        <w:jc w:val="both"/>
        <w:rPr>
          <w:rFonts w:ascii="Calibri" w:hAnsi="Calibri"/>
          <w:color w:val="002060"/>
          <w:sz w:val="20"/>
          <w:szCs w:val="20"/>
        </w:rPr>
      </w:pPr>
      <w:r w:rsidRPr="0086696A">
        <w:rPr>
          <w:rFonts w:ascii="Calibri" w:hAnsi="Calibri"/>
          <w:color w:val="002060"/>
          <w:sz w:val="20"/>
          <w:szCs w:val="20"/>
        </w:rPr>
        <w:t>Outre les informations collectées facilement accessibles (comptes annuels, extrait KBIS...), ces organismes prennent en considération les risques pays à l'international et les risques associés au secteur d'activité.</w:t>
      </w:r>
    </w:p>
    <w:p w:rsidR="00925BA6" w:rsidRPr="0086696A" w:rsidRDefault="007A3373" w:rsidP="007B033C">
      <w:pPr>
        <w:pStyle w:val="revuetexte"/>
        <w:spacing w:after="100" w:afterAutospacing="1"/>
        <w:ind w:left="0"/>
        <w:jc w:val="both"/>
        <w:rPr>
          <w:rFonts w:ascii="Calibri" w:hAnsi="Calibri"/>
          <w:color w:val="002060"/>
          <w:sz w:val="20"/>
          <w:szCs w:val="20"/>
        </w:rPr>
      </w:pPr>
      <w:r w:rsidRPr="0086696A">
        <w:rPr>
          <w:rFonts w:ascii="Calibri" w:hAnsi="Calibri"/>
          <w:color w:val="002060"/>
          <w:sz w:val="20"/>
          <w:szCs w:val="20"/>
        </w:rPr>
        <w:t>Toutefois, ces cotations sont devenues, depuis plusieurs mois, très restrictives et déstabilisent fortement les entreprises. Beaucoup d'</w:t>
      </w:r>
      <w:r w:rsidR="00FB1E5B" w:rsidRPr="0086696A">
        <w:rPr>
          <w:rFonts w:ascii="Calibri" w:hAnsi="Calibri"/>
          <w:color w:val="002060"/>
          <w:sz w:val="20"/>
          <w:szCs w:val="20"/>
        </w:rPr>
        <w:t>entre</w:t>
      </w:r>
      <w:r w:rsidRPr="0086696A">
        <w:rPr>
          <w:rFonts w:ascii="Calibri" w:hAnsi="Calibri"/>
          <w:color w:val="002060"/>
          <w:sz w:val="20"/>
          <w:szCs w:val="20"/>
        </w:rPr>
        <w:t xml:space="preserve"> elles qui suivaient scrupuleusement la position de l'assureur-crédit ou du factor, n'acceptaient aucun dépassement. Les vagues de réduction et de résiliation d'agréments de ces derniers mois les conduisent à revoir leur dispositif de prévention des risques et à prendre des engagements non assurés.</w:t>
      </w:r>
    </w:p>
    <w:p w:rsidR="007A3373" w:rsidRPr="00DB7C7E" w:rsidRDefault="007A3373" w:rsidP="00496D00">
      <w:pPr>
        <w:pStyle w:val="revuetitre"/>
        <w:spacing w:before="120" w:after="120"/>
        <w:jc w:val="both"/>
        <w:rPr>
          <w:rFonts w:ascii="Calibri" w:hAnsi="Calibri"/>
          <w:color w:val="002060"/>
          <w:sz w:val="24"/>
        </w:rPr>
      </w:pPr>
      <w:r w:rsidRPr="00DB7C7E">
        <w:rPr>
          <w:rFonts w:ascii="Calibri" w:hAnsi="Calibri"/>
          <w:color w:val="002060"/>
          <w:sz w:val="24"/>
        </w:rPr>
        <w:t xml:space="preserve">Comment se couvrir face aux risques de crédit ? </w:t>
      </w:r>
    </w:p>
    <w:p w:rsidR="007B033C" w:rsidRDefault="007A3373" w:rsidP="007B033C">
      <w:pPr>
        <w:pStyle w:val="revuechapo"/>
        <w:spacing w:before="0" w:after="100" w:afterAutospacing="1"/>
        <w:ind w:left="0"/>
        <w:rPr>
          <w:rFonts w:ascii="Calibri" w:hAnsi="Calibri"/>
          <w:color w:val="002060"/>
          <w:sz w:val="20"/>
          <w:szCs w:val="20"/>
        </w:rPr>
      </w:pPr>
      <w:r w:rsidRPr="0086696A">
        <w:rPr>
          <w:rFonts w:ascii="Calibri" w:hAnsi="Calibri"/>
          <w:color w:val="002060"/>
          <w:sz w:val="20"/>
          <w:szCs w:val="20"/>
        </w:rPr>
        <w:t>Il faut agir à chaque étape de la relation client : rédaction des conditions générales de vente, préparation des factures, le cas échéant, prise de garanties bien ciblées et choix de moyens de paiement adaptés aux besoins. En aval, l'entreprise peut aussi recourir à l'assurance-crédit ou l'affacturage.</w:t>
      </w:r>
    </w:p>
    <w:p w:rsidR="007A3373" w:rsidRPr="00DB7C7E" w:rsidRDefault="00A50217" w:rsidP="00496D00">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Le cadre juridique de la relation commerciale </w:t>
      </w:r>
    </w:p>
    <w:p w:rsidR="007A3373" w:rsidRPr="007B033C" w:rsidRDefault="007A3373" w:rsidP="000B1C28">
      <w:pPr>
        <w:pStyle w:val="revuesousintertitre"/>
        <w:spacing w:before="0" w:after="60"/>
        <w:ind w:left="0"/>
        <w:jc w:val="both"/>
        <w:rPr>
          <w:rFonts w:ascii="Calibri" w:hAnsi="Calibri"/>
          <w:color w:val="002060"/>
          <w:sz w:val="21"/>
          <w:szCs w:val="21"/>
        </w:rPr>
      </w:pPr>
      <w:r w:rsidRPr="007B033C">
        <w:rPr>
          <w:rStyle w:val="revuesousintertitre1"/>
          <w:rFonts w:ascii="Calibri" w:hAnsi="Calibri"/>
          <w:color w:val="002060"/>
          <w:sz w:val="21"/>
          <w:szCs w:val="21"/>
        </w:rPr>
        <w:t xml:space="preserve">Les conditions générales de vente </w:t>
      </w:r>
    </w:p>
    <w:p w:rsidR="007A3373" w:rsidRPr="00DB7C7E" w:rsidRDefault="007A3373" w:rsidP="007B033C">
      <w:pPr>
        <w:pStyle w:val="revuetexte"/>
        <w:spacing w:after="60"/>
        <w:ind w:left="0"/>
        <w:jc w:val="both"/>
        <w:rPr>
          <w:rFonts w:ascii="Calibri" w:hAnsi="Calibri"/>
          <w:b/>
          <w:color w:val="002060"/>
          <w:sz w:val="20"/>
          <w:szCs w:val="20"/>
        </w:rPr>
      </w:pPr>
      <w:r w:rsidRPr="00DB7C7E">
        <w:rPr>
          <w:rStyle w:val="lev"/>
          <w:rFonts w:ascii="Calibri" w:hAnsi="Calibri"/>
          <w:b w:val="0"/>
          <w:color w:val="002060"/>
          <w:sz w:val="20"/>
          <w:szCs w:val="20"/>
          <w:shd w:val="clear" w:color="auto" w:fill="FFFFCC"/>
        </w:rPr>
        <w:t>Elles constituent le socle de la négociation commerciale</w:t>
      </w:r>
      <w:r w:rsidRPr="00DB7C7E">
        <w:rPr>
          <w:rStyle w:val="lev"/>
          <w:rFonts w:ascii="Calibri" w:hAnsi="Calibri"/>
          <w:b w:val="0"/>
          <w:color w:val="002060"/>
          <w:sz w:val="20"/>
          <w:szCs w:val="20"/>
        </w:rPr>
        <w:t xml:space="preserve"> </w:t>
      </w:r>
    </w:p>
    <w:p w:rsidR="00DB7C7E" w:rsidRDefault="00DB7C7E" w:rsidP="00DB7C7E">
      <w:pPr>
        <w:pStyle w:val="revuetexte"/>
        <w:spacing w:after="60"/>
        <w:ind w:left="170" w:hanging="170"/>
        <w:jc w:val="both"/>
        <w:rPr>
          <w:rFonts w:ascii="Calibri" w:hAnsi="Calibri"/>
          <w:color w:val="002060"/>
          <w:sz w:val="20"/>
          <w:szCs w:val="20"/>
        </w:rPr>
      </w:pPr>
      <w:r w:rsidRPr="00441AD5">
        <w:pict>
          <v:shape id="_x0000_i1045"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Les conditions générales de vente ne sont pas obligatoires, </w:t>
      </w:r>
      <w:r w:rsidR="007A3373" w:rsidRPr="0086696A">
        <w:rPr>
          <w:rFonts w:ascii="Calibri" w:hAnsi="Calibri"/>
          <w:color w:val="002060"/>
          <w:sz w:val="20"/>
          <w:szCs w:val="20"/>
        </w:rPr>
        <w:t>mais l'article L. 441-6, 1</w:t>
      </w:r>
      <w:r w:rsidR="007A3373" w:rsidRPr="0086696A">
        <w:rPr>
          <w:rFonts w:ascii="Calibri" w:hAnsi="Calibri"/>
          <w:color w:val="002060"/>
          <w:sz w:val="20"/>
          <w:szCs w:val="20"/>
          <w:vertAlign w:val="superscript"/>
        </w:rPr>
        <w:t>er</w:t>
      </w:r>
      <w:r w:rsidR="007A3373" w:rsidRPr="0086696A">
        <w:rPr>
          <w:rFonts w:ascii="Calibri" w:hAnsi="Calibri"/>
          <w:color w:val="002060"/>
          <w:sz w:val="20"/>
          <w:szCs w:val="20"/>
        </w:rPr>
        <w:t xml:space="preserve"> alinéa, du code de commerce mentionne l'obligation de communication suivante : « Tout producteur, prestataire de services, grossiste ou importateur est tenu de communiquer ses conditions générales de vente à tout acheteur de produits ou tout demandeur de prestations de services qui en fait la demande pour une activité professionnelle. Celles-ci constituent le socle de la négociation commerciale. </w:t>
      </w:r>
    </w:p>
    <w:p w:rsidR="007A3373" w:rsidRPr="0086696A" w:rsidRDefault="007A3373" w:rsidP="00DB7C7E">
      <w:pPr>
        <w:pStyle w:val="revuetexte"/>
        <w:spacing w:after="60"/>
        <w:ind w:left="170"/>
        <w:jc w:val="both"/>
        <w:rPr>
          <w:rFonts w:ascii="Calibri" w:hAnsi="Calibri"/>
          <w:color w:val="002060"/>
          <w:sz w:val="20"/>
          <w:szCs w:val="20"/>
        </w:rPr>
      </w:pPr>
      <w:r w:rsidRPr="0086696A">
        <w:rPr>
          <w:rFonts w:ascii="Calibri" w:hAnsi="Calibri"/>
          <w:color w:val="002060"/>
          <w:sz w:val="20"/>
          <w:szCs w:val="20"/>
        </w:rPr>
        <w:t xml:space="preserve">Elles comprennent : </w:t>
      </w:r>
    </w:p>
    <w:p w:rsidR="007A3373" w:rsidRPr="0086696A" w:rsidRDefault="007A3373" w:rsidP="007B033C">
      <w:pPr>
        <w:pStyle w:val="revuetexte"/>
        <w:spacing w:after="60"/>
        <w:ind w:left="397" w:hanging="170"/>
        <w:jc w:val="both"/>
        <w:rPr>
          <w:rFonts w:ascii="Calibri" w:hAnsi="Calibri"/>
          <w:color w:val="002060"/>
          <w:sz w:val="20"/>
          <w:szCs w:val="20"/>
        </w:rPr>
      </w:pPr>
      <w:r w:rsidRPr="0086696A">
        <w:rPr>
          <w:rFonts w:ascii="Calibri" w:hAnsi="Calibri"/>
          <w:color w:val="002060"/>
          <w:sz w:val="20"/>
          <w:szCs w:val="20"/>
        </w:rPr>
        <w:t>- les conditions de vente ;</w:t>
      </w:r>
    </w:p>
    <w:p w:rsidR="007A3373" w:rsidRPr="0086696A" w:rsidRDefault="007A3373" w:rsidP="007B033C">
      <w:pPr>
        <w:pStyle w:val="revuetexte"/>
        <w:spacing w:after="60"/>
        <w:ind w:left="397" w:hanging="170"/>
        <w:jc w:val="both"/>
        <w:rPr>
          <w:rFonts w:ascii="Calibri" w:hAnsi="Calibri"/>
          <w:color w:val="002060"/>
          <w:sz w:val="20"/>
          <w:szCs w:val="20"/>
        </w:rPr>
      </w:pPr>
      <w:r w:rsidRPr="0086696A">
        <w:rPr>
          <w:rFonts w:ascii="Calibri" w:hAnsi="Calibri"/>
          <w:color w:val="002060"/>
          <w:sz w:val="20"/>
          <w:szCs w:val="20"/>
        </w:rPr>
        <w:t>- le barème des prix unitaires ;</w:t>
      </w:r>
    </w:p>
    <w:p w:rsidR="007A3373" w:rsidRPr="0086696A" w:rsidRDefault="007A3373" w:rsidP="007B033C">
      <w:pPr>
        <w:pStyle w:val="revuetexte"/>
        <w:spacing w:after="60"/>
        <w:ind w:left="397" w:hanging="170"/>
        <w:jc w:val="both"/>
        <w:rPr>
          <w:rFonts w:ascii="Calibri" w:hAnsi="Calibri"/>
          <w:color w:val="002060"/>
          <w:sz w:val="20"/>
          <w:szCs w:val="20"/>
        </w:rPr>
      </w:pPr>
      <w:r w:rsidRPr="0086696A">
        <w:rPr>
          <w:rFonts w:ascii="Calibri" w:hAnsi="Calibri"/>
          <w:color w:val="002060"/>
          <w:sz w:val="20"/>
          <w:szCs w:val="20"/>
        </w:rPr>
        <w:t>- les réductions de prix ;</w:t>
      </w:r>
    </w:p>
    <w:p w:rsidR="007A3373" w:rsidRPr="0086696A" w:rsidRDefault="007A3373" w:rsidP="007B033C">
      <w:pPr>
        <w:pStyle w:val="revuetexte"/>
        <w:spacing w:after="120"/>
        <w:ind w:left="397" w:hanging="170"/>
        <w:jc w:val="both"/>
        <w:rPr>
          <w:rFonts w:ascii="Calibri" w:hAnsi="Calibri"/>
          <w:color w:val="002060"/>
          <w:sz w:val="20"/>
          <w:szCs w:val="20"/>
        </w:rPr>
      </w:pPr>
      <w:r w:rsidRPr="0086696A">
        <w:rPr>
          <w:rFonts w:ascii="Calibri" w:hAnsi="Calibri"/>
          <w:color w:val="002060"/>
          <w:sz w:val="20"/>
          <w:szCs w:val="20"/>
        </w:rPr>
        <w:t>- les conditions de règlement ».</w:t>
      </w:r>
    </w:p>
    <w:p w:rsidR="007A3373" w:rsidRPr="0086696A" w:rsidRDefault="007B033C" w:rsidP="007B033C">
      <w:pPr>
        <w:pStyle w:val="revuetexte"/>
        <w:spacing w:after="60"/>
        <w:ind w:left="170" w:hanging="170"/>
        <w:jc w:val="both"/>
        <w:rPr>
          <w:rFonts w:ascii="Calibri" w:hAnsi="Calibri"/>
          <w:color w:val="002060"/>
          <w:sz w:val="20"/>
          <w:szCs w:val="20"/>
        </w:rPr>
      </w:pPr>
      <w:r w:rsidRPr="00C94CB6">
        <w:rPr>
          <w:noProof/>
        </w:rPr>
        <w:drawing>
          <wp:inline distT="0" distB="0" distL="0" distR="0" wp14:anchorId="349B577D" wp14:editId="46781B92">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Les conditions générales de vente peuvent être différenciées selon les catégories </w:t>
      </w:r>
      <w:r w:rsidR="007A3373" w:rsidRPr="0086696A">
        <w:rPr>
          <w:rFonts w:ascii="Calibri" w:hAnsi="Calibri"/>
          <w:color w:val="002060"/>
          <w:sz w:val="20"/>
          <w:szCs w:val="20"/>
        </w:rPr>
        <w:t>d'acheteurs de produits ou de demandeurs de prestation de services, et notamment entre grossistes et détaillants (c. com. art. précité). Les conditions dans lesquelles sont définies ces catégories sont fixées par voie réglementaire en fonction notamment du chiffre d'affaires, de la nature de la clien</w:t>
      </w:r>
      <w:r w:rsidR="00F21C25" w:rsidRPr="0086696A">
        <w:rPr>
          <w:rFonts w:ascii="Calibri" w:hAnsi="Calibri"/>
          <w:color w:val="002060"/>
          <w:sz w:val="20"/>
          <w:szCs w:val="20"/>
        </w:rPr>
        <w:t>tèle et du mode de distribution</w:t>
      </w:r>
      <w:r w:rsidR="007A3373" w:rsidRPr="0086696A">
        <w:rPr>
          <w:rFonts w:ascii="Calibri" w:hAnsi="Calibri"/>
          <w:color w:val="002060"/>
          <w:sz w:val="20"/>
          <w:szCs w:val="20"/>
        </w:rPr>
        <w:t>.</w:t>
      </w:r>
    </w:p>
    <w:p w:rsidR="007A3373" w:rsidRPr="0086696A" w:rsidRDefault="007A3373" w:rsidP="00FC590B">
      <w:pPr>
        <w:pStyle w:val="revuetexte"/>
        <w:spacing w:after="60"/>
        <w:ind w:left="170"/>
        <w:jc w:val="both"/>
        <w:rPr>
          <w:rFonts w:ascii="Calibri" w:hAnsi="Calibri"/>
          <w:color w:val="002060"/>
          <w:sz w:val="20"/>
          <w:szCs w:val="20"/>
        </w:rPr>
      </w:pPr>
      <w:r w:rsidRPr="0086696A">
        <w:rPr>
          <w:rFonts w:ascii="Calibri" w:hAnsi="Calibri"/>
          <w:color w:val="002060"/>
          <w:sz w:val="20"/>
          <w:szCs w:val="20"/>
        </w:rPr>
        <w:t>Dans ce cas, l'obligation de communication prescrite au premier alinéa ne s'applique qu'à l'égard des acheteurs de produits ou des demandeurs de prestation de services d'une même catégorie. Tout producteur, prestataire de services, grossiste ou importateur peut, par ailleurs, convenir avec un acheteur de produits ou un demandeur de prestation de services des conditions particulières de vente justifiées par la spécificité des services rendus qui ne sont pas soumises à cette obligation de communication.</w:t>
      </w:r>
    </w:p>
    <w:p w:rsidR="007A3373" w:rsidRPr="0086696A" w:rsidRDefault="007B033C" w:rsidP="007B033C">
      <w:pPr>
        <w:pStyle w:val="revuetexte"/>
        <w:spacing w:after="120"/>
        <w:ind w:left="170" w:hanging="170"/>
        <w:jc w:val="both"/>
        <w:rPr>
          <w:rFonts w:ascii="Calibri" w:hAnsi="Calibri"/>
          <w:color w:val="002060"/>
          <w:sz w:val="20"/>
          <w:szCs w:val="20"/>
        </w:rPr>
      </w:pPr>
      <w:r w:rsidRPr="00C94CB6">
        <w:rPr>
          <w:noProof/>
        </w:rPr>
        <w:lastRenderedPageBreak/>
        <w:drawing>
          <wp:inline distT="0" distB="0" distL="0" distR="0" wp14:anchorId="6F14A76D" wp14:editId="0667FC9C">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Les sanctions encourues pour le non-respect </w:t>
      </w:r>
      <w:r w:rsidR="007A3373" w:rsidRPr="0086696A">
        <w:rPr>
          <w:rFonts w:ascii="Calibri" w:hAnsi="Calibri"/>
          <w:color w:val="002060"/>
          <w:sz w:val="20"/>
          <w:szCs w:val="20"/>
        </w:rPr>
        <w:t>de ces obligations sont de 15 000 € pour une personne physique et 75 000 € pour une personne morale (c. com. art. précité).</w:t>
      </w:r>
    </w:p>
    <w:p w:rsidR="007A3373" w:rsidRDefault="007A3373" w:rsidP="00CC7A6D">
      <w:pPr>
        <w:pStyle w:val="revuetexte"/>
        <w:shd w:val="clear" w:color="auto" w:fill="FFFFFF" w:themeFill="background1"/>
        <w:spacing w:after="60"/>
        <w:ind w:left="0"/>
        <w:jc w:val="both"/>
        <w:rPr>
          <w:rStyle w:val="lev"/>
          <w:rFonts w:ascii="Calibri" w:hAnsi="Calibri"/>
          <w:color w:val="002060"/>
          <w:sz w:val="21"/>
          <w:szCs w:val="21"/>
        </w:rPr>
      </w:pPr>
      <w:r w:rsidRPr="007B033C">
        <w:rPr>
          <w:rStyle w:val="lev"/>
          <w:rFonts w:ascii="Calibri" w:hAnsi="Calibri"/>
          <w:color w:val="002060"/>
          <w:sz w:val="21"/>
          <w:szCs w:val="21"/>
          <w:shd w:val="clear" w:color="auto" w:fill="FFFFFF" w:themeFill="background1"/>
        </w:rPr>
        <w:t>Mentions obligatoires</w:t>
      </w:r>
      <w:r w:rsidRPr="007B033C">
        <w:rPr>
          <w:rStyle w:val="lev"/>
          <w:rFonts w:ascii="Calibri" w:hAnsi="Calibri"/>
          <w:color w:val="002060"/>
          <w:sz w:val="21"/>
          <w:szCs w:val="21"/>
        </w:rPr>
        <w:t xml:space="preserve"> </w:t>
      </w:r>
    </w:p>
    <w:p w:rsidR="007B033C" w:rsidRPr="00CC7A6D" w:rsidRDefault="007A3373" w:rsidP="00FB1E5B">
      <w:pPr>
        <w:pStyle w:val="revuetexte"/>
        <w:numPr>
          <w:ilvl w:val="0"/>
          <w:numId w:val="2"/>
        </w:numPr>
        <w:shd w:val="clear" w:color="auto" w:fill="FFFFFF" w:themeFill="background1"/>
        <w:spacing w:after="60"/>
        <w:ind w:left="170" w:hanging="170"/>
        <w:jc w:val="both"/>
        <w:rPr>
          <w:rFonts w:ascii="Calibri" w:hAnsi="Calibri"/>
          <w:b/>
          <w:bCs/>
          <w:color w:val="002060"/>
          <w:sz w:val="21"/>
          <w:szCs w:val="21"/>
        </w:rPr>
      </w:pPr>
      <w:r w:rsidRPr="00CC7A6D">
        <w:rPr>
          <w:rStyle w:val="lev"/>
          <w:rFonts w:ascii="Calibri" w:hAnsi="Calibri"/>
          <w:b w:val="0"/>
          <w:color w:val="002060"/>
          <w:sz w:val="20"/>
          <w:szCs w:val="20"/>
        </w:rPr>
        <w:t>Barème de prix</w:t>
      </w:r>
      <w:r w:rsidRPr="00CC7A6D">
        <w:rPr>
          <w:rFonts w:ascii="Calibri" w:hAnsi="Calibri"/>
          <w:b/>
          <w:color w:val="002060"/>
          <w:sz w:val="20"/>
          <w:szCs w:val="20"/>
        </w:rPr>
        <w:t>.</w:t>
      </w:r>
    </w:p>
    <w:p w:rsidR="007B033C" w:rsidRPr="00CC7A6D" w:rsidRDefault="007A3373" w:rsidP="00FB1E5B">
      <w:pPr>
        <w:pStyle w:val="revuetexte"/>
        <w:numPr>
          <w:ilvl w:val="0"/>
          <w:numId w:val="2"/>
        </w:numPr>
        <w:shd w:val="clear" w:color="auto" w:fill="FFFFFF" w:themeFill="background1"/>
        <w:spacing w:after="60"/>
        <w:ind w:left="170" w:hanging="170"/>
        <w:jc w:val="both"/>
        <w:rPr>
          <w:rFonts w:ascii="Calibri" w:hAnsi="Calibri"/>
          <w:b/>
          <w:bCs/>
          <w:color w:val="002060"/>
          <w:sz w:val="21"/>
          <w:szCs w:val="21"/>
        </w:rPr>
      </w:pPr>
      <w:r w:rsidRPr="00CC7A6D">
        <w:rPr>
          <w:rStyle w:val="lev"/>
          <w:rFonts w:ascii="Calibri" w:hAnsi="Calibri"/>
          <w:b w:val="0"/>
          <w:color w:val="002060"/>
          <w:sz w:val="20"/>
          <w:szCs w:val="20"/>
        </w:rPr>
        <w:t>Rabais et ristournes éventuels</w:t>
      </w:r>
      <w:r w:rsidRPr="00CC7A6D">
        <w:rPr>
          <w:rFonts w:ascii="Calibri" w:hAnsi="Calibri"/>
          <w:b/>
          <w:color w:val="002060"/>
          <w:sz w:val="20"/>
          <w:szCs w:val="20"/>
        </w:rPr>
        <w:t>.</w:t>
      </w:r>
    </w:p>
    <w:p w:rsidR="00CC7A6D" w:rsidRDefault="007A3373" w:rsidP="00FB1E5B">
      <w:pPr>
        <w:pStyle w:val="revuetexte"/>
        <w:numPr>
          <w:ilvl w:val="0"/>
          <w:numId w:val="2"/>
        </w:numPr>
        <w:shd w:val="clear" w:color="auto" w:fill="FFFFFF" w:themeFill="background1"/>
        <w:spacing w:after="60"/>
        <w:ind w:left="170" w:hanging="170"/>
        <w:jc w:val="both"/>
        <w:rPr>
          <w:rFonts w:ascii="Calibri" w:hAnsi="Calibri"/>
          <w:b/>
          <w:bCs/>
          <w:color w:val="002060"/>
          <w:sz w:val="21"/>
          <w:szCs w:val="21"/>
        </w:rPr>
      </w:pPr>
      <w:r w:rsidRPr="007B033C">
        <w:rPr>
          <w:rStyle w:val="lev"/>
          <w:rFonts w:ascii="Calibri" w:hAnsi="Calibri"/>
          <w:color w:val="002060"/>
          <w:sz w:val="20"/>
          <w:szCs w:val="20"/>
        </w:rPr>
        <w:t>Délais de paiement</w:t>
      </w:r>
      <w:r w:rsidRPr="007B033C">
        <w:rPr>
          <w:rFonts w:ascii="Calibri" w:hAnsi="Calibri"/>
          <w:color w:val="002060"/>
          <w:sz w:val="20"/>
          <w:szCs w:val="20"/>
        </w:rPr>
        <w:t>. La loi de modernisation de l'économie précise que c'est la date d'émission de la facture qui est le point de départ du calcul du délai de paiement. La date d'échéance doit, quant à elle, figurer sur la facture.</w:t>
      </w:r>
      <w:r w:rsidR="00CC7A6D">
        <w:rPr>
          <w:rFonts w:ascii="Calibri" w:hAnsi="Calibri"/>
          <w:b/>
          <w:bCs/>
          <w:color w:val="002060"/>
          <w:sz w:val="21"/>
          <w:szCs w:val="21"/>
        </w:rPr>
        <w:t xml:space="preserve"> </w:t>
      </w:r>
      <w:r w:rsidRPr="00CC7A6D">
        <w:rPr>
          <w:rFonts w:ascii="Calibri" w:hAnsi="Calibri"/>
          <w:color w:val="002060"/>
          <w:sz w:val="20"/>
          <w:szCs w:val="20"/>
        </w:rPr>
        <w:t>À défaut de précision de délai de paiement dans les conditions générales de ventes, c'est le délai supplétif qui s'impose, c'est-à-dir</w:t>
      </w:r>
      <w:r w:rsidR="00CC7A6D">
        <w:rPr>
          <w:rFonts w:ascii="Calibri" w:hAnsi="Calibri"/>
          <w:color w:val="002060"/>
          <w:sz w:val="20"/>
          <w:szCs w:val="20"/>
        </w:rPr>
        <w:t>e 30 jours</w:t>
      </w:r>
      <w:r w:rsidRPr="00CC7A6D">
        <w:rPr>
          <w:rFonts w:ascii="Calibri" w:hAnsi="Calibri"/>
          <w:color w:val="002060"/>
          <w:sz w:val="20"/>
          <w:szCs w:val="20"/>
        </w:rPr>
        <w:t>.</w:t>
      </w:r>
    </w:p>
    <w:p w:rsidR="007A3373" w:rsidRPr="00CC7A6D" w:rsidRDefault="007A3373" w:rsidP="00FB1E5B">
      <w:pPr>
        <w:pStyle w:val="revuetexte"/>
        <w:numPr>
          <w:ilvl w:val="0"/>
          <w:numId w:val="2"/>
        </w:numPr>
        <w:shd w:val="clear" w:color="auto" w:fill="FFFFFF" w:themeFill="background1"/>
        <w:spacing w:after="60"/>
        <w:ind w:left="170" w:hanging="170"/>
        <w:jc w:val="both"/>
        <w:rPr>
          <w:rFonts w:ascii="Calibri" w:hAnsi="Calibri"/>
          <w:b/>
          <w:bCs/>
          <w:color w:val="002060"/>
          <w:sz w:val="21"/>
          <w:szCs w:val="21"/>
        </w:rPr>
      </w:pPr>
      <w:r w:rsidRPr="00CC7A6D">
        <w:rPr>
          <w:rStyle w:val="lev"/>
          <w:rFonts w:ascii="Calibri" w:hAnsi="Calibri"/>
          <w:color w:val="002060"/>
          <w:sz w:val="20"/>
          <w:szCs w:val="20"/>
        </w:rPr>
        <w:t>Taux des pénalités applicables en cas de retard de paiement</w:t>
      </w:r>
      <w:r w:rsidRPr="00CC7A6D">
        <w:rPr>
          <w:rFonts w:ascii="Calibri" w:hAnsi="Calibri"/>
          <w:color w:val="002060"/>
          <w:sz w:val="20"/>
          <w:szCs w:val="20"/>
        </w:rPr>
        <w:t>. Les conditions générales de vente doivent mentionner le taux des pénalités applicable. Les taux applicables aux pénalités de retard ont été renforcés par la loi de modernisation de l'économie en application depuis le 1</w:t>
      </w:r>
      <w:r w:rsidRPr="00CC7A6D">
        <w:rPr>
          <w:rFonts w:ascii="Calibri" w:hAnsi="Calibri"/>
          <w:color w:val="002060"/>
          <w:sz w:val="20"/>
          <w:szCs w:val="20"/>
          <w:vertAlign w:val="superscript"/>
        </w:rPr>
        <w:t>er</w:t>
      </w:r>
      <w:r w:rsidRPr="00CC7A6D">
        <w:rPr>
          <w:rFonts w:ascii="Calibri" w:hAnsi="Calibri"/>
          <w:color w:val="002060"/>
          <w:sz w:val="20"/>
          <w:szCs w:val="20"/>
        </w:rPr>
        <w:t xml:space="preserve"> janvier 2009 (c. com</w:t>
      </w:r>
      <w:r w:rsidRPr="00FB1E5B">
        <w:rPr>
          <w:rFonts w:ascii="Calibri" w:hAnsi="Calibri"/>
          <w:color w:val="002060"/>
          <w:sz w:val="20"/>
          <w:szCs w:val="20"/>
        </w:rPr>
        <w:t xml:space="preserve">. </w:t>
      </w:r>
      <w:hyperlink r:id="rId8" w:tgtFrame="_blank" w:history="1">
        <w:r w:rsidRPr="00FB1E5B">
          <w:rPr>
            <w:rStyle w:val="Lienhypertexte"/>
            <w:rFonts w:ascii="Calibri" w:hAnsi="Calibri"/>
            <w:color w:val="002060"/>
            <w:sz w:val="20"/>
            <w:szCs w:val="20"/>
            <w:u w:val="none"/>
          </w:rPr>
          <w:t>art. L. 441-6</w:t>
        </w:r>
      </w:hyperlink>
      <w:r w:rsidRPr="00CC7A6D">
        <w:rPr>
          <w:rFonts w:ascii="Calibri" w:hAnsi="Calibri"/>
          <w:color w:val="002060"/>
          <w:sz w:val="20"/>
          <w:szCs w:val="20"/>
        </w:rPr>
        <w:t>) :</w:t>
      </w:r>
    </w:p>
    <w:p w:rsidR="007A3373" w:rsidRPr="0086696A" w:rsidRDefault="007A3373" w:rsidP="00FC590B">
      <w:pPr>
        <w:pStyle w:val="revuetexte"/>
        <w:spacing w:after="60"/>
        <w:ind w:left="340" w:hanging="113"/>
        <w:jc w:val="both"/>
        <w:rPr>
          <w:rFonts w:ascii="Calibri" w:hAnsi="Calibri"/>
          <w:color w:val="002060"/>
          <w:sz w:val="20"/>
          <w:szCs w:val="20"/>
        </w:rPr>
      </w:pPr>
      <w:r w:rsidRPr="0086696A">
        <w:rPr>
          <w:rFonts w:ascii="Calibri" w:hAnsi="Calibri"/>
          <w:color w:val="002060"/>
          <w:sz w:val="20"/>
          <w:szCs w:val="20"/>
        </w:rPr>
        <w:t xml:space="preserve">- </w:t>
      </w:r>
      <w:r w:rsidRPr="0086696A">
        <w:rPr>
          <w:rStyle w:val="lev"/>
          <w:rFonts w:ascii="Calibri" w:hAnsi="Calibri"/>
          <w:color w:val="002060"/>
          <w:sz w:val="20"/>
          <w:szCs w:val="20"/>
        </w:rPr>
        <w:t>un taux plancher</w:t>
      </w:r>
      <w:r w:rsidRPr="0086696A">
        <w:rPr>
          <w:rFonts w:ascii="Calibri" w:hAnsi="Calibri"/>
          <w:color w:val="002060"/>
          <w:sz w:val="20"/>
          <w:szCs w:val="20"/>
        </w:rPr>
        <w:t>, en deçà duquel on ne peut descendre. Ce taux corres</w:t>
      </w:r>
      <w:r w:rsidR="00CC7A6D">
        <w:rPr>
          <w:rFonts w:ascii="Calibri" w:hAnsi="Calibri"/>
          <w:color w:val="002060"/>
          <w:sz w:val="20"/>
          <w:szCs w:val="20"/>
        </w:rPr>
        <w:t xml:space="preserve">pond au taux de l'intérêt légal multiplié par 3 </w:t>
      </w:r>
      <w:r w:rsidRPr="0086696A">
        <w:rPr>
          <w:rFonts w:ascii="Calibri" w:hAnsi="Calibri"/>
          <w:color w:val="002060"/>
          <w:sz w:val="20"/>
          <w:szCs w:val="20"/>
        </w:rPr>
        <w:t>(le taux de l'intérêt légal est fixé en début</w:t>
      </w:r>
      <w:r w:rsidR="00CC7A6D">
        <w:rPr>
          <w:rFonts w:ascii="Calibri" w:hAnsi="Calibri"/>
          <w:color w:val="002060"/>
          <w:sz w:val="20"/>
          <w:szCs w:val="20"/>
        </w:rPr>
        <w:t xml:space="preserve"> d'année par décret</w:t>
      </w:r>
      <w:r w:rsidRPr="0086696A">
        <w:rPr>
          <w:rFonts w:ascii="Calibri" w:hAnsi="Calibri"/>
          <w:color w:val="002060"/>
          <w:sz w:val="20"/>
          <w:szCs w:val="20"/>
        </w:rPr>
        <w:t>) ;</w:t>
      </w:r>
    </w:p>
    <w:p w:rsidR="007A3373" w:rsidRPr="0086696A" w:rsidRDefault="007A3373" w:rsidP="00FC590B">
      <w:pPr>
        <w:pStyle w:val="revuetexte"/>
        <w:spacing w:after="0"/>
        <w:ind w:left="340" w:hanging="113"/>
        <w:jc w:val="both"/>
        <w:rPr>
          <w:rFonts w:ascii="Calibri" w:hAnsi="Calibri"/>
          <w:color w:val="002060"/>
          <w:sz w:val="20"/>
          <w:szCs w:val="20"/>
        </w:rPr>
      </w:pPr>
      <w:r w:rsidRPr="0086696A">
        <w:rPr>
          <w:rFonts w:ascii="Calibri" w:hAnsi="Calibri"/>
          <w:color w:val="002060"/>
          <w:sz w:val="20"/>
          <w:szCs w:val="20"/>
        </w:rPr>
        <w:t xml:space="preserve">- </w:t>
      </w:r>
      <w:r w:rsidRPr="0086696A">
        <w:rPr>
          <w:rStyle w:val="lev"/>
          <w:rFonts w:ascii="Calibri" w:hAnsi="Calibri"/>
          <w:color w:val="002060"/>
          <w:sz w:val="20"/>
          <w:szCs w:val="20"/>
        </w:rPr>
        <w:t xml:space="preserve">un taux de référence </w:t>
      </w:r>
      <w:r w:rsidRPr="0086696A">
        <w:rPr>
          <w:rFonts w:ascii="Calibri" w:hAnsi="Calibri"/>
          <w:color w:val="002060"/>
          <w:sz w:val="20"/>
          <w:szCs w:val="20"/>
        </w:rPr>
        <w:t>qui s'applique de manière supplétive (sauf disposition contraire). Ce taux correspond au taux de refinancement de</w:t>
      </w:r>
      <w:r w:rsidR="00CC7A6D">
        <w:rPr>
          <w:rFonts w:ascii="Calibri" w:hAnsi="Calibri"/>
          <w:color w:val="002060"/>
          <w:sz w:val="20"/>
          <w:szCs w:val="20"/>
        </w:rPr>
        <w:t xml:space="preserve"> la banque centrale européenne </w:t>
      </w:r>
      <w:r w:rsidRPr="0086696A">
        <w:rPr>
          <w:rFonts w:ascii="Calibri" w:hAnsi="Calibri"/>
          <w:color w:val="002060"/>
          <w:sz w:val="20"/>
          <w:szCs w:val="20"/>
        </w:rPr>
        <w:t>majoré de 10 poi</w:t>
      </w:r>
      <w:r w:rsidR="00CC7A6D">
        <w:rPr>
          <w:rFonts w:ascii="Calibri" w:hAnsi="Calibri"/>
          <w:color w:val="002060"/>
          <w:sz w:val="20"/>
          <w:szCs w:val="20"/>
        </w:rPr>
        <w:t>nts de pourcentage</w:t>
      </w:r>
      <w:r w:rsidRPr="0086696A">
        <w:rPr>
          <w:rFonts w:ascii="Calibri" w:hAnsi="Calibri"/>
          <w:color w:val="002060"/>
          <w:sz w:val="20"/>
          <w:szCs w:val="20"/>
        </w:rPr>
        <w:t>.</w:t>
      </w:r>
    </w:p>
    <w:p w:rsidR="00FC590B" w:rsidRDefault="007A3373" w:rsidP="00FC590B">
      <w:pPr>
        <w:pStyle w:val="revuetexte"/>
        <w:spacing w:after="60"/>
        <w:ind w:left="340"/>
        <w:jc w:val="both"/>
        <w:rPr>
          <w:rFonts w:ascii="Calibri" w:hAnsi="Calibri"/>
          <w:color w:val="002060"/>
          <w:sz w:val="20"/>
          <w:szCs w:val="20"/>
        </w:rPr>
      </w:pPr>
      <w:r w:rsidRPr="0086696A">
        <w:rPr>
          <w:rFonts w:ascii="Calibri" w:hAnsi="Calibri"/>
          <w:color w:val="002060"/>
          <w:sz w:val="20"/>
          <w:szCs w:val="20"/>
        </w:rPr>
        <w:t>L'entreprise peut définir un autre taux, à condition de respecter le taux plancher. S'agissant de pénalités, le taux de l'usure ne s'applique pas.</w:t>
      </w:r>
    </w:p>
    <w:p w:rsidR="007A3373" w:rsidRPr="0086696A" w:rsidRDefault="007A3373" w:rsidP="00FC590B">
      <w:pPr>
        <w:pStyle w:val="revuetexte"/>
        <w:spacing w:after="60"/>
        <w:ind w:left="340"/>
        <w:jc w:val="both"/>
        <w:rPr>
          <w:rFonts w:ascii="Calibri" w:hAnsi="Calibri"/>
          <w:color w:val="002060"/>
          <w:sz w:val="20"/>
          <w:szCs w:val="20"/>
        </w:rPr>
      </w:pPr>
      <w:r w:rsidRPr="0086696A">
        <w:rPr>
          <w:rFonts w:ascii="Calibri" w:hAnsi="Calibri"/>
          <w:color w:val="002060"/>
          <w:sz w:val="20"/>
          <w:szCs w:val="20"/>
        </w:rPr>
        <w:t xml:space="preserve">Par ailleurs, bien que les pénalités de retard soient « exigibles le jour suivant la date de règlement sans qu'un rappel soit nécessaire », </w:t>
      </w:r>
      <w:r w:rsidR="00CC7A6D">
        <w:rPr>
          <w:rFonts w:ascii="Calibri" w:hAnsi="Calibri"/>
          <w:color w:val="002060"/>
          <w:sz w:val="20"/>
          <w:szCs w:val="20"/>
        </w:rPr>
        <w:t>il est</w:t>
      </w:r>
      <w:r w:rsidRPr="0086696A">
        <w:rPr>
          <w:rFonts w:ascii="Calibri" w:hAnsi="Calibri"/>
          <w:color w:val="002060"/>
          <w:sz w:val="20"/>
          <w:szCs w:val="20"/>
        </w:rPr>
        <w:t xml:space="preserve"> recommand</w:t>
      </w:r>
      <w:r w:rsidR="00CC7A6D">
        <w:rPr>
          <w:rFonts w:ascii="Calibri" w:hAnsi="Calibri"/>
          <w:color w:val="002060"/>
          <w:sz w:val="20"/>
          <w:szCs w:val="20"/>
        </w:rPr>
        <w:t>é</w:t>
      </w:r>
      <w:r w:rsidRPr="0086696A">
        <w:rPr>
          <w:rFonts w:ascii="Calibri" w:hAnsi="Calibri"/>
          <w:color w:val="002060"/>
          <w:sz w:val="20"/>
          <w:szCs w:val="20"/>
        </w:rPr>
        <w:t xml:space="preserve"> de porter sur le texte des relances le détail du calcul des pénalités dues, afin de sensibiliser le débiteur et de faciliter l'imputation ultérieure. </w:t>
      </w:r>
    </w:p>
    <w:p w:rsidR="00FC590B" w:rsidRDefault="007A3373" w:rsidP="00FC590B">
      <w:pPr>
        <w:pStyle w:val="revuetexte"/>
        <w:spacing w:after="60"/>
        <w:ind w:left="340"/>
        <w:jc w:val="both"/>
        <w:rPr>
          <w:rFonts w:ascii="Calibri" w:hAnsi="Calibri"/>
          <w:color w:val="002060"/>
          <w:sz w:val="20"/>
          <w:szCs w:val="20"/>
        </w:rPr>
      </w:pPr>
      <w:r w:rsidRPr="0086696A">
        <w:rPr>
          <w:rFonts w:ascii="Calibri" w:hAnsi="Calibri"/>
          <w:color w:val="002060"/>
          <w:sz w:val="20"/>
          <w:szCs w:val="20"/>
        </w:rPr>
        <w:t>Si cela n'est pas possible, il est conseillé d'indiquer au minimum la mention suivante : « Les articles L. 441-3 et L. 441-6 du code de commerce stipulent que des pénalités de retard sont exigibles le jour suivant la date de règlement sans qu'un rappel soit nécessaire. Le taux appliqué par l'entreprise est de X % l'an ».</w:t>
      </w:r>
    </w:p>
    <w:p w:rsidR="00FC590B" w:rsidRDefault="007A3373" w:rsidP="00FC590B">
      <w:pPr>
        <w:pStyle w:val="revuetexte"/>
        <w:spacing w:after="60"/>
        <w:ind w:left="340"/>
        <w:jc w:val="both"/>
        <w:rPr>
          <w:rFonts w:ascii="Calibri" w:hAnsi="Calibri"/>
          <w:color w:val="002060"/>
          <w:sz w:val="20"/>
          <w:szCs w:val="20"/>
        </w:rPr>
      </w:pPr>
      <w:r w:rsidRPr="0086696A">
        <w:rPr>
          <w:rFonts w:ascii="Calibri" w:hAnsi="Calibri"/>
          <w:color w:val="002060"/>
          <w:sz w:val="20"/>
          <w:szCs w:val="20"/>
        </w:rPr>
        <w:t xml:space="preserve">Depuis </w:t>
      </w:r>
      <w:smartTag w:uri="urn:schemas-microsoft-com:office:smarttags" w:element="PersonName">
        <w:smartTagPr>
          <w:attr w:name="ProductID" w:val="la loi NRE"/>
        </w:smartTagPr>
        <w:r w:rsidRPr="0086696A">
          <w:rPr>
            <w:rFonts w:ascii="Calibri" w:hAnsi="Calibri"/>
            <w:color w:val="002060"/>
            <w:sz w:val="20"/>
            <w:szCs w:val="20"/>
          </w:rPr>
          <w:t>la loi NRE</w:t>
        </w:r>
      </w:smartTag>
      <w:r w:rsidRPr="0086696A">
        <w:rPr>
          <w:rFonts w:ascii="Calibri" w:hAnsi="Calibri"/>
          <w:color w:val="002060"/>
          <w:sz w:val="20"/>
          <w:szCs w:val="20"/>
        </w:rPr>
        <w:t xml:space="preserve"> du 15 mai 2001, des pénalités sont dues de plein droit en cas de retard de paiement d'une facture (c. com. </w:t>
      </w:r>
      <w:hyperlink r:id="rId9" w:tgtFrame="_blank" w:history="1">
        <w:r w:rsidRPr="0086696A">
          <w:rPr>
            <w:rStyle w:val="Lienhypertexte"/>
            <w:rFonts w:ascii="Calibri" w:hAnsi="Calibri"/>
            <w:color w:val="002060"/>
            <w:sz w:val="20"/>
            <w:szCs w:val="20"/>
          </w:rPr>
          <w:t>art. L. 441-6</w:t>
        </w:r>
      </w:hyperlink>
      <w:r w:rsidRPr="0086696A">
        <w:rPr>
          <w:rFonts w:ascii="Calibri" w:hAnsi="Calibri"/>
          <w:color w:val="002060"/>
          <w:sz w:val="20"/>
          <w:szCs w:val="20"/>
        </w:rPr>
        <w:t>). Cette règle vaut même si aucune pénalité n'est prévue dans les conditions générales de vente. Elle s'applique aux contrats commerciaux en cours en 2001 car, précise la Cour de cassation, cette nouvelle disposition répond « à des considérations d'ordre public particulièrement impérieuses ».</w:t>
      </w:r>
    </w:p>
    <w:p w:rsidR="007A3373" w:rsidRPr="0086696A" w:rsidRDefault="007A3373" w:rsidP="00FC590B">
      <w:pPr>
        <w:pStyle w:val="revuetexte"/>
        <w:spacing w:after="120"/>
        <w:ind w:left="340"/>
        <w:jc w:val="both"/>
        <w:rPr>
          <w:rFonts w:ascii="Calibri" w:hAnsi="Calibri"/>
          <w:color w:val="002060"/>
          <w:sz w:val="20"/>
          <w:szCs w:val="20"/>
        </w:rPr>
      </w:pPr>
      <w:r w:rsidRPr="0086696A">
        <w:rPr>
          <w:rFonts w:ascii="Calibri" w:hAnsi="Calibri"/>
          <w:color w:val="002060"/>
          <w:sz w:val="20"/>
          <w:szCs w:val="20"/>
        </w:rPr>
        <w:t xml:space="preserve">Dans l'affaire soumise à la Cour de cassation, il s'agissait d'un marché de travaux qui devait être réglé courant 2001, mais ne l'avait été que début </w:t>
      </w:r>
      <w:smartTag w:uri="urn:schemas-microsoft-com:office:smarttags" w:element="metricconverter">
        <w:smartTagPr>
          <w:attr w:name="ProductID" w:val="2004. L"/>
        </w:smartTagPr>
        <w:r w:rsidRPr="0086696A">
          <w:rPr>
            <w:rFonts w:ascii="Calibri" w:hAnsi="Calibri"/>
            <w:color w:val="002060"/>
            <w:sz w:val="20"/>
            <w:szCs w:val="20"/>
          </w:rPr>
          <w:t>2004. L</w:t>
        </w:r>
      </w:smartTag>
      <w:r w:rsidRPr="0086696A">
        <w:rPr>
          <w:rFonts w:ascii="Calibri" w:hAnsi="Calibri"/>
          <w:color w:val="002060"/>
          <w:sz w:val="20"/>
          <w:szCs w:val="20"/>
        </w:rPr>
        <w:t xml:space="preserve">'entrepreneur, qui n'avait pas mentionné de pénalités dans ses conditions générales, a néanmoins pu réclamer, pour 2001, 2002 et 2003, celles prévues par le code de commerce depuis </w:t>
      </w:r>
      <w:smartTag w:uri="urn:schemas-microsoft-com:office:smarttags" w:element="PersonName">
        <w:smartTagPr>
          <w:attr w:name="ProductID" w:val="la loi NRE"/>
        </w:smartTagPr>
        <w:r w:rsidRPr="0086696A">
          <w:rPr>
            <w:rFonts w:ascii="Calibri" w:hAnsi="Calibri"/>
            <w:color w:val="002060"/>
            <w:sz w:val="20"/>
            <w:szCs w:val="20"/>
          </w:rPr>
          <w:t>la loi NRE</w:t>
        </w:r>
      </w:smartTag>
      <w:r w:rsidRPr="0086696A">
        <w:rPr>
          <w:rFonts w:ascii="Calibri" w:hAnsi="Calibri"/>
          <w:color w:val="002060"/>
          <w:sz w:val="20"/>
          <w:szCs w:val="20"/>
        </w:rPr>
        <w:t xml:space="preserve"> (</w:t>
      </w:r>
      <w:proofErr w:type="spellStart"/>
      <w:r w:rsidRPr="0086696A">
        <w:rPr>
          <w:rFonts w:ascii="Calibri" w:hAnsi="Calibri"/>
          <w:color w:val="002060"/>
          <w:sz w:val="20"/>
          <w:szCs w:val="20"/>
        </w:rPr>
        <w:t>cass</w:t>
      </w:r>
      <w:proofErr w:type="spellEnd"/>
      <w:r w:rsidRPr="0086696A">
        <w:rPr>
          <w:rFonts w:ascii="Calibri" w:hAnsi="Calibri"/>
          <w:color w:val="002060"/>
          <w:sz w:val="20"/>
          <w:szCs w:val="20"/>
        </w:rPr>
        <w:t>. com. 3 mars 2009, n° 07-16527).</w:t>
      </w:r>
    </w:p>
    <w:p w:rsidR="007A3373" w:rsidRPr="00CC7A6D" w:rsidRDefault="007A3373" w:rsidP="000B1C28">
      <w:pPr>
        <w:pStyle w:val="revuetexte"/>
        <w:spacing w:after="60"/>
        <w:ind w:left="0"/>
        <w:jc w:val="both"/>
        <w:rPr>
          <w:rFonts w:ascii="Calibri" w:hAnsi="Calibri"/>
          <w:color w:val="002060"/>
          <w:sz w:val="21"/>
          <w:szCs w:val="21"/>
        </w:rPr>
      </w:pPr>
      <w:r w:rsidRPr="00CC7A6D">
        <w:rPr>
          <w:rStyle w:val="lev"/>
          <w:rFonts w:ascii="Calibri" w:hAnsi="Calibri"/>
          <w:color w:val="002060"/>
          <w:sz w:val="21"/>
          <w:szCs w:val="21"/>
        </w:rPr>
        <w:t xml:space="preserve">Mentions conseillées </w:t>
      </w:r>
    </w:p>
    <w:p w:rsidR="00FC590B" w:rsidRDefault="00CC7A6D" w:rsidP="00FC590B">
      <w:pPr>
        <w:pStyle w:val="revuetexte"/>
        <w:spacing w:after="60"/>
        <w:ind w:left="170" w:hanging="170"/>
        <w:jc w:val="both"/>
        <w:rPr>
          <w:rFonts w:ascii="Calibri" w:hAnsi="Calibri"/>
          <w:color w:val="002060"/>
          <w:sz w:val="20"/>
          <w:szCs w:val="20"/>
        </w:rPr>
      </w:pPr>
      <w:r w:rsidRPr="00C94CB6">
        <w:rPr>
          <w:noProof/>
        </w:rPr>
        <w:drawing>
          <wp:inline distT="0" distB="0" distL="0" distR="0" wp14:anchorId="3E98EF23" wp14:editId="0C1AE5B7">
            <wp:extent cx="114300" cy="95250"/>
            <wp:effectExtent l="0" t="0" r="0" b="0"/>
            <wp:docPr id="24" name="Image 2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Clause de réserve de propriété</w:t>
      </w:r>
      <w:r w:rsidR="007A3373" w:rsidRPr="0086696A">
        <w:rPr>
          <w:rFonts w:ascii="Calibri" w:hAnsi="Calibri"/>
          <w:color w:val="002060"/>
          <w:sz w:val="20"/>
          <w:szCs w:val="20"/>
        </w:rPr>
        <w:t xml:space="preserve">. Cette clause tout à fait intéressante ne peut être utilisée que par les entreprises qui vendent des biens. Il faut également que les biens demeurent « en nature ». En effet, on ne peut plus faire jouer cette clause à partir du moment où le bien vendu a été transformé ou incorporé à un autre produit (sauf si la récupération peut être effectuée sans dommage pour les biens eux-mêmes et le bien final dans lequel ils sont incorporés). </w:t>
      </w:r>
    </w:p>
    <w:p w:rsidR="007A3373" w:rsidRPr="0086696A" w:rsidRDefault="007A3373" w:rsidP="00FC590B">
      <w:pPr>
        <w:pStyle w:val="revuetexte"/>
        <w:spacing w:after="60"/>
        <w:ind w:left="170"/>
        <w:jc w:val="both"/>
        <w:rPr>
          <w:rFonts w:ascii="Calibri" w:hAnsi="Calibri"/>
          <w:color w:val="002060"/>
          <w:sz w:val="20"/>
          <w:szCs w:val="20"/>
        </w:rPr>
      </w:pPr>
      <w:r w:rsidRPr="0086696A">
        <w:rPr>
          <w:rFonts w:ascii="Calibri" w:hAnsi="Calibri"/>
          <w:color w:val="002060"/>
          <w:sz w:val="20"/>
          <w:szCs w:val="20"/>
        </w:rPr>
        <w:t xml:space="preserve">Pour pouvoir faire jouer cette clause, il est indispensable qu'elle ait été acceptée et signée par le client au plus tard au moment de </w:t>
      </w:r>
      <w:smartTag w:uri="urn:schemas-microsoft-com:office:smarttags" w:element="PersonName">
        <w:smartTagPr>
          <w:attr w:name="ProductID" w:val="la livraison. C'est"/>
        </w:smartTagPr>
        <w:r w:rsidRPr="0086696A">
          <w:rPr>
            <w:rFonts w:ascii="Calibri" w:hAnsi="Calibri"/>
            <w:color w:val="002060"/>
            <w:sz w:val="20"/>
            <w:szCs w:val="20"/>
          </w:rPr>
          <w:t>la livraison. C'est</w:t>
        </w:r>
      </w:smartTag>
      <w:r w:rsidRPr="0086696A">
        <w:rPr>
          <w:rFonts w:ascii="Calibri" w:hAnsi="Calibri"/>
          <w:color w:val="002060"/>
          <w:sz w:val="20"/>
          <w:szCs w:val="20"/>
        </w:rPr>
        <w:t xml:space="preserve"> pourquoi, nous conseillons de faire figurer cette clause sur le bon de commande ou le bon de livraison (au recto) qui sera signé par le client.</w:t>
      </w:r>
    </w:p>
    <w:p w:rsidR="007A3373" w:rsidRPr="0086696A" w:rsidRDefault="00CC7A6D" w:rsidP="00FC590B">
      <w:pPr>
        <w:pStyle w:val="revuetexte"/>
        <w:spacing w:after="60"/>
        <w:ind w:left="170" w:hanging="170"/>
        <w:jc w:val="both"/>
        <w:rPr>
          <w:rFonts w:ascii="Calibri" w:hAnsi="Calibri"/>
          <w:color w:val="002060"/>
          <w:sz w:val="20"/>
          <w:szCs w:val="20"/>
        </w:rPr>
      </w:pPr>
      <w:r w:rsidRPr="00C94CB6">
        <w:rPr>
          <w:noProof/>
        </w:rPr>
        <w:drawing>
          <wp:inline distT="0" distB="0" distL="0" distR="0" wp14:anchorId="3E98EF23" wp14:editId="0C1AE5B7">
            <wp:extent cx="114300" cy="95250"/>
            <wp:effectExtent l="0" t="0" r="0" b="0"/>
            <wp:docPr id="25" name="Image 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Déchéance du terme de paiement</w:t>
      </w:r>
      <w:r w:rsidR="007A3373" w:rsidRPr="0086696A">
        <w:rPr>
          <w:rFonts w:ascii="Calibri" w:hAnsi="Calibri"/>
          <w:color w:val="002060"/>
          <w:sz w:val="20"/>
          <w:szCs w:val="20"/>
        </w:rPr>
        <w:t>. Lorsque plusieurs livraisons ont été programmées avec un client (donc plusieurs factures, parmi lesquelles certaines sont échues et d'autres non), cette clause permet de réclamer immédiatement au débiteur l'intégralité des sommes dues même non échues s'il ne s'acquitte pas de la première facture.</w:t>
      </w:r>
    </w:p>
    <w:p w:rsidR="007A3373" w:rsidRPr="0086696A" w:rsidRDefault="00CC7A6D" w:rsidP="00FC590B">
      <w:pPr>
        <w:pStyle w:val="revuetexte"/>
        <w:spacing w:after="0"/>
        <w:ind w:left="170" w:hanging="170"/>
        <w:jc w:val="both"/>
        <w:rPr>
          <w:rFonts w:ascii="Calibri" w:hAnsi="Calibri"/>
          <w:color w:val="002060"/>
          <w:sz w:val="20"/>
          <w:szCs w:val="20"/>
        </w:rPr>
      </w:pPr>
      <w:r w:rsidRPr="00C94CB6">
        <w:rPr>
          <w:noProof/>
        </w:rPr>
        <w:drawing>
          <wp:inline distT="0" distB="0" distL="0" distR="0" wp14:anchorId="3E98EF23" wp14:editId="0C1AE5B7">
            <wp:extent cx="114300" cy="95250"/>
            <wp:effectExtent l="0" t="0" r="0" b="0"/>
            <wp:docPr id="26" name="Image 2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Clause suspensive et résolutoire</w:t>
      </w:r>
      <w:r w:rsidR="007A3373" w:rsidRPr="0086696A">
        <w:rPr>
          <w:rFonts w:ascii="Calibri" w:hAnsi="Calibri"/>
          <w:color w:val="002060"/>
          <w:sz w:val="20"/>
          <w:szCs w:val="20"/>
        </w:rPr>
        <w:t>. Grâce à cette clause, une entreprise peut se délier des obligations réciproques relatives à la conclusion d'un contrat ou au passage d'une commande (c. civ. art. 1652 et s.). Pour ce faire, les conditions (événements) qui peuvent entraîner la suspension ou la résolution doivent être définies de façon claire.</w:t>
      </w:r>
    </w:p>
    <w:p w:rsidR="007A3373" w:rsidRPr="0086696A" w:rsidRDefault="007A3373" w:rsidP="00FC590B">
      <w:pPr>
        <w:pStyle w:val="revuetexte"/>
        <w:spacing w:after="60"/>
        <w:ind w:left="170"/>
        <w:jc w:val="both"/>
        <w:rPr>
          <w:rFonts w:ascii="Calibri" w:hAnsi="Calibri"/>
          <w:color w:val="002060"/>
          <w:sz w:val="20"/>
          <w:szCs w:val="20"/>
        </w:rPr>
      </w:pPr>
      <w:r w:rsidRPr="0086696A">
        <w:rPr>
          <w:rFonts w:ascii="Calibri" w:hAnsi="Calibri"/>
          <w:color w:val="002060"/>
          <w:sz w:val="20"/>
          <w:szCs w:val="20"/>
        </w:rPr>
        <w:t>Notons toutefois que la résolution de marchés publics n'est possible que par voie juridictionnelle en cas de force majeure ou de faute grave de l'administration.</w:t>
      </w:r>
    </w:p>
    <w:p w:rsidR="00FC590B" w:rsidRDefault="00CC7A6D" w:rsidP="00FC590B">
      <w:pPr>
        <w:pStyle w:val="revuetexte"/>
        <w:spacing w:after="0"/>
        <w:ind w:left="170" w:hanging="170"/>
        <w:jc w:val="both"/>
        <w:rPr>
          <w:rFonts w:ascii="Calibri" w:hAnsi="Calibri"/>
          <w:color w:val="002060"/>
          <w:sz w:val="20"/>
          <w:szCs w:val="20"/>
        </w:rPr>
      </w:pPr>
      <w:r w:rsidRPr="00C94CB6">
        <w:rPr>
          <w:noProof/>
        </w:rPr>
        <w:drawing>
          <wp:inline distT="0" distB="0" distL="0" distR="0" wp14:anchorId="3E98EF23" wp14:editId="0C1AE5B7">
            <wp:extent cx="114300" cy="95250"/>
            <wp:effectExtent l="0" t="0" r="0" b="0"/>
            <wp:docPr id="27" name="Image 2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Clause pénale</w:t>
      </w:r>
      <w:r w:rsidR="007A3373" w:rsidRPr="0086696A">
        <w:rPr>
          <w:rFonts w:ascii="Calibri" w:hAnsi="Calibri"/>
          <w:color w:val="002060"/>
          <w:sz w:val="20"/>
          <w:szCs w:val="20"/>
        </w:rPr>
        <w:t xml:space="preserve">. Cette clause permet d'inclure dans le contrat un dédommagement pour le préjudice subi du fait de l'impayé (c. civ. art. 1226 à 1233). À défaut de paiement à l'échéance contractuelle, l'acheteur devra acquitter, en sus du prix, une somme d'un montant de X % du montant dû en principal. </w:t>
      </w:r>
    </w:p>
    <w:p w:rsidR="007A3373" w:rsidRPr="0086696A" w:rsidRDefault="007A3373" w:rsidP="00FC590B">
      <w:pPr>
        <w:pStyle w:val="revuetexte"/>
        <w:spacing w:after="60"/>
        <w:ind w:left="170"/>
        <w:jc w:val="both"/>
        <w:rPr>
          <w:rFonts w:ascii="Calibri" w:hAnsi="Calibri"/>
          <w:color w:val="002060"/>
          <w:sz w:val="20"/>
          <w:szCs w:val="20"/>
        </w:rPr>
      </w:pPr>
      <w:r w:rsidRPr="0086696A">
        <w:rPr>
          <w:rFonts w:ascii="Calibri" w:hAnsi="Calibri"/>
          <w:color w:val="002060"/>
          <w:sz w:val="20"/>
          <w:szCs w:val="20"/>
        </w:rPr>
        <w:t>Aucun texte ne réglemente le montant de la clause pénale. Toutefois, le montant doit être réaliste et les tribunaux, régulièrement, révisent à la baisse ou à la hausse des sommes réclamées au titre de clauses pénales soit trop élevées, soit trop dérisoires.</w:t>
      </w:r>
    </w:p>
    <w:p w:rsidR="007A3373" w:rsidRPr="0086696A" w:rsidRDefault="00CC7A6D" w:rsidP="00FC590B">
      <w:pPr>
        <w:pStyle w:val="revuetexte"/>
        <w:tabs>
          <w:tab w:val="left" w:pos="3969"/>
        </w:tabs>
        <w:spacing w:after="60"/>
        <w:ind w:left="170" w:hanging="170"/>
        <w:jc w:val="both"/>
        <w:rPr>
          <w:rFonts w:ascii="Calibri" w:hAnsi="Calibri"/>
          <w:color w:val="002060"/>
          <w:sz w:val="20"/>
          <w:szCs w:val="20"/>
        </w:rPr>
      </w:pPr>
      <w:r w:rsidRPr="00C94CB6">
        <w:rPr>
          <w:noProof/>
        </w:rPr>
        <w:drawing>
          <wp:inline distT="0" distB="0" distL="0" distR="0" wp14:anchorId="3E98EF23" wp14:editId="0C1AE5B7">
            <wp:extent cx="114300" cy="95250"/>
            <wp:effectExtent l="0" t="0" r="0" b="0"/>
            <wp:docPr id="28" name="Image 2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Force majeure</w:t>
      </w:r>
      <w:r w:rsidR="007A3373" w:rsidRPr="0086696A">
        <w:rPr>
          <w:rFonts w:ascii="Calibri" w:hAnsi="Calibri"/>
          <w:color w:val="002060"/>
          <w:sz w:val="20"/>
          <w:szCs w:val="20"/>
        </w:rPr>
        <w:t>. Cette clause définit les conditions et événements qui pourraient entraîner l'interruption du contrat sans dédommagement de l'acheteur.</w:t>
      </w:r>
    </w:p>
    <w:p w:rsidR="007A3373" w:rsidRPr="0086696A" w:rsidRDefault="00CC7A6D" w:rsidP="00FC590B">
      <w:pPr>
        <w:pStyle w:val="revuetexte"/>
        <w:tabs>
          <w:tab w:val="left" w:pos="3969"/>
        </w:tabs>
        <w:spacing w:after="0"/>
        <w:ind w:left="170" w:hanging="170"/>
        <w:jc w:val="both"/>
        <w:rPr>
          <w:rFonts w:ascii="Calibri" w:hAnsi="Calibri"/>
          <w:color w:val="002060"/>
          <w:sz w:val="20"/>
          <w:szCs w:val="20"/>
        </w:rPr>
      </w:pPr>
      <w:r w:rsidRPr="00C94CB6">
        <w:rPr>
          <w:noProof/>
        </w:rPr>
        <w:lastRenderedPageBreak/>
        <w:drawing>
          <wp:inline distT="0" distB="0" distL="0" distR="0" wp14:anchorId="3E98EF23" wp14:editId="0C1AE5B7">
            <wp:extent cx="114300" cy="95250"/>
            <wp:effectExtent l="0" t="0" r="0" b="0"/>
            <wp:docPr id="29" name="Image 2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Tribunal compétent</w:t>
      </w:r>
      <w:r w:rsidR="007A3373" w:rsidRPr="0086696A">
        <w:rPr>
          <w:rFonts w:ascii="Calibri" w:hAnsi="Calibri"/>
          <w:color w:val="002060"/>
          <w:sz w:val="20"/>
          <w:szCs w:val="20"/>
        </w:rPr>
        <w:t>. La juridiction compétente est, sauf disposition contraire, celle du lieu du défenseur (c. proc. civ. art. 42). Toutefois, des dérogations sont possibles entre commerçants (c. proc. civ. art. 48) et les parties peuvent convenir de choisir un autre tribunal que celui du client.</w:t>
      </w:r>
    </w:p>
    <w:p w:rsidR="00CC7A6D" w:rsidRDefault="007A3373" w:rsidP="00D93C2C">
      <w:pPr>
        <w:pStyle w:val="revuetexte"/>
        <w:spacing w:after="60"/>
        <w:ind w:left="170"/>
        <w:jc w:val="both"/>
        <w:rPr>
          <w:rFonts w:ascii="Calibri" w:hAnsi="Calibri"/>
          <w:color w:val="002060"/>
          <w:sz w:val="20"/>
          <w:szCs w:val="20"/>
        </w:rPr>
      </w:pPr>
      <w:r w:rsidRPr="0086696A">
        <w:rPr>
          <w:rFonts w:ascii="Calibri" w:hAnsi="Calibri"/>
          <w:color w:val="002060"/>
          <w:sz w:val="20"/>
          <w:szCs w:val="20"/>
        </w:rPr>
        <w:t xml:space="preserve">Une exception de taille est la procédure d'injonction de payer pour laquelle c'est toujours le tribunal du débiteur qui est compétent. </w:t>
      </w:r>
    </w:p>
    <w:p w:rsidR="00FC590B" w:rsidRDefault="007A3373" w:rsidP="00CC7A6D">
      <w:pPr>
        <w:pStyle w:val="revuetexte"/>
        <w:spacing w:after="120"/>
        <w:ind w:left="170"/>
        <w:jc w:val="both"/>
        <w:rPr>
          <w:rFonts w:ascii="Calibri" w:hAnsi="Calibri"/>
          <w:color w:val="002060"/>
          <w:sz w:val="20"/>
          <w:szCs w:val="20"/>
        </w:rPr>
      </w:pPr>
      <w:r w:rsidRPr="0086696A">
        <w:rPr>
          <w:rFonts w:ascii="Calibri" w:hAnsi="Calibri"/>
          <w:color w:val="002060"/>
          <w:sz w:val="20"/>
          <w:szCs w:val="20"/>
        </w:rPr>
        <w:t xml:space="preserve">En matière de commerce international, il peut être souhaitable qu'une clause prévoit l'arbitrage auprès d'une cour arbitrale internationale. Cette clause doit comprendre l'attribution du droit qui sera pratiqué. </w:t>
      </w:r>
    </w:p>
    <w:p w:rsidR="007A3373" w:rsidRPr="0086696A" w:rsidRDefault="007A3373" w:rsidP="00CC7A6D">
      <w:pPr>
        <w:pStyle w:val="revuetexte"/>
        <w:spacing w:after="120"/>
        <w:ind w:left="0"/>
        <w:jc w:val="both"/>
        <w:rPr>
          <w:rFonts w:ascii="Calibri" w:hAnsi="Calibri"/>
          <w:color w:val="002060"/>
          <w:sz w:val="20"/>
          <w:szCs w:val="20"/>
        </w:rPr>
      </w:pPr>
      <w:r w:rsidRPr="0086696A">
        <w:rPr>
          <w:rStyle w:val="lev"/>
          <w:rFonts w:ascii="Calibri" w:hAnsi="Calibri"/>
          <w:color w:val="002060"/>
          <w:sz w:val="20"/>
          <w:szCs w:val="20"/>
        </w:rPr>
        <w:t xml:space="preserve">Cette liste n'est pas, bien sûr, exhaustive. </w:t>
      </w:r>
      <w:r w:rsidRPr="00FC590B">
        <w:rPr>
          <w:rStyle w:val="lev"/>
          <w:rFonts w:ascii="Calibri" w:hAnsi="Calibri"/>
          <w:b w:val="0"/>
          <w:color w:val="002060"/>
          <w:sz w:val="20"/>
          <w:szCs w:val="20"/>
        </w:rPr>
        <w:t>L'AFDCC encourage les entreprises à se rapprocher de leur service juridique ou d'un conseil juridique afin d'établir des conditions générales de vente adaptées à leur secteur et à leur activité</w:t>
      </w:r>
      <w:r w:rsidRPr="0086696A">
        <w:rPr>
          <w:rStyle w:val="lev"/>
          <w:rFonts w:ascii="Calibri" w:hAnsi="Calibri"/>
          <w:color w:val="002060"/>
          <w:sz w:val="20"/>
          <w:szCs w:val="20"/>
        </w:rPr>
        <w:t>.</w:t>
      </w:r>
      <w:r w:rsidRPr="0086696A">
        <w:rPr>
          <w:rFonts w:ascii="Calibri" w:hAnsi="Calibri"/>
          <w:color w:val="002060"/>
          <w:sz w:val="20"/>
          <w:szCs w:val="20"/>
        </w:rPr>
        <w:t xml:space="preserve"> </w:t>
      </w:r>
    </w:p>
    <w:p w:rsidR="007A3373" w:rsidRPr="00CC7A6D" w:rsidRDefault="007A3373" w:rsidP="000B1C28">
      <w:pPr>
        <w:pStyle w:val="revuesousintertitre"/>
        <w:spacing w:before="0" w:after="60"/>
        <w:ind w:left="0"/>
        <w:jc w:val="both"/>
        <w:rPr>
          <w:rFonts w:ascii="Calibri" w:hAnsi="Calibri"/>
          <w:color w:val="002060"/>
          <w:sz w:val="21"/>
          <w:szCs w:val="21"/>
        </w:rPr>
      </w:pPr>
      <w:r w:rsidRPr="00CC7A6D">
        <w:rPr>
          <w:rStyle w:val="revuesousintertitre1"/>
          <w:rFonts w:ascii="Calibri" w:hAnsi="Calibri"/>
          <w:color w:val="002060"/>
          <w:sz w:val="21"/>
          <w:szCs w:val="21"/>
        </w:rPr>
        <w:t xml:space="preserve">Les conditions de règlement : nouveaux délais </w:t>
      </w:r>
    </w:p>
    <w:p w:rsidR="007A3373" w:rsidRPr="0086696A" w:rsidRDefault="007A3373" w:rsidP="00CC7A6D">
      <w:pPr>
        <w:pStyle w:val="revuetexte"/>
        <w:spacing w:after="120"/>
        <w:ind w:left="0"/>
        <w:jc w:val="both"/>
        <w:rPr>
          <w:rFonts w:ascii="Calibri" w:hAnsi="Calibri"/>
          <w:color w:val="002060"/>
          <w:sz w:val="20"/>
          <w:szCs w:val="20"/>
        </w:rPr>
      </w:pPr>
      <w:r w:rsidRPr="0086696A">
        <w:rPr>
          <w:rFonts w:ascii="Calibri" w:hAnsi="Calibri"/>
          <w:color w:val="002060"/>
          <w:sz w:val="20"/>
          <w:szCs w:val="20"/>
        </w:rPr>
        <w:t>Les délais de paiement ont été modifiés, pour les contrats conclus à partir du 1</w:t>
      </w:r>
      <w:r w:rsidRPr="0086696A">
        <w:rPr>
          <w:rFonts w:ascii="Calibri" w:hAnsi="Calibri"/>
          <w:color w:val="002060"/>
          <w:sz w:val="20"/>
          <w:szCs w:val="20"/>
          <w:vertAlign w:val="superscript"/>
        </w:rPr>
        <w:t>er</w:t>
      </w:r>
      <w:r w:rsidRPr="0086696A">
        <w:rPr>
          <w:rFonts w:ascii="Calibri" w:hAnsi="Calibri"/>
          <w:color w:val="002060"/>
          <w:sz w:val="20"/>
          <w:szCs w:val="20"/>
        </w:rPr>
        <w:t xml:space="preserve"> janvier 2009, par la loi de modernisation de l'économie du 4 août 2008.</w:t>
      </w:r>
    </w:p>
    <w:p w:rsidR="007A3373" w:rsidRPr="0086696A" w:rsidRDefault="007A3373" w:rsidP="00CC7A6D">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 xml:space="preserve">Délai de droit commun </w:t>
      </w:r>
    </w:p>
    <w:p w:rsidR="00FC590B" w:rsidRPr="00D93C2C" w:rsidRDefault="007A3373" w:rsidP="00CC7A6D">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Sauf dispositions contraires figurant aux CGV ou convenues entre les parties, le délai de règlement des sommes dues est fixé au trentième jour suivant la date de réception des marchandises ou d'exécution de la prestation demandée (c. com. </w:t>
      </w:r>
      <w:hyperlink r:id="rId10" w:tgtFrame="_blank" w:history="1">
        <w:r w:rsidRPr="00D93C2C">
          <w:rPr>
            <w:rStyle w:val="Lienhypertexte"/>
            <w:rFonts w:ascii="Calibri" w:hAnsi="Calibri"/>
            <w:color w:val="002060"/>
            <w:sz w:val="20"/>
            <w:szCs w:val="20"/>
            <w:u w:val="none"/>
          </w:rPr>
          <w:t>art. L. 441-6</w:t>
        </w:r>
      </w:hyperlink>
      <w:r w:rsidRPr="00D93C2C">
        <w:rPr>
          <w:rFonts w:ascii="Calibri" w:hAnsi="Calibri"/>
          <w:color w:val="002060"/>
          <w:sz w:val="20"/>
          <w:szCs w:val="20"/>
        </w:rPr>
        <w:t>, al. 8).</w:t>
      </w:r>
    </w:p>
    <w:p w:rsidR="007A3373" w:rsidRPr="0086696A" w:rsidRDefault="007A3373" w:rsidP="00CC7A6D">
      <w:pPr>
        <w:pStyle w:val="revuetexte"/>
        <w:spacing w:after="120"/>
        <w:ind w:left="0"/>
        <w:jc w:val="both"/>
        <w:rPr>
          <w:rFonts w:ascii="Calibri" w:hAnsi="Calibri"/>
          <w:color w:val="002060"/>
          <w:sz w:val="20"/>
          <w:szCs w:val="20"/>
        </w:rPr>
      </w:pPr>
      <w:r w:rsidRPr="0086696A">
        <w:rPr>
          <w:rFonts w:ascii="Calibri" w:hAnsi="Calibri"/>
          <w:color w:val="002060"/>
          <w:sz w:val="20"/>
          <w:szCs w:val="20"/>
        </w:rPr>
        <w:t>Le délai convenu entre les parties pour régler les sommes dues ne peut dépasser 45 jours fin de mois ou 60 jours à compter de la date d'émission de la facture.</w:t>
      </w:r>
    </w:p>
    <w:p w:rsidR="007A3373" w:rsidRPr="0086696A" w:rsidRDefault="007A3373" w:rsidP="00CC7A6D">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 xml:space="preserve">Les dérogations « positives » </w:t>
      </w:r>
    </w:p>
    <w:p w:rsidR="007A3373" w:rsidRPr="0086696A" w:rsidRDefault="007A3373" w:rsidP="00CC7A6D">
      <w:pPr>
        <w:pStyle w:val="revuetexte"/>
        <w:spacing w:after="60"/>
        <w:ind w:left="0"/>
        <w:jc w:val="both"/>
        <w:rPr>
          <w:rFonts w:ascii="Calibri" w:hAnsi="Calibri"/>
          <w:color w:val="002060"/>
          <w:sz w:val="20"/>
          <w:szCs w:val="20"/>
        </w:rPr>
      </w:pPr>
      <w:r w:rsidRPr="0086696A">
        <w:rPr>
          <w:rFonts w:ascii="Calibri" w:hAnsi="Calibri"/>
          <w:color w:val="002060"/>
          <w:sz w:val="20"/>
          <w:szCs w:val="20"/>
        </w:rPr>
        <w:t>Les professionnels d'un secteur, clients et fournisseurs, peuvent décider conjointement de réduire le délai maximum de paiement fixé à l'alinéa précédent (45 jours fin de mois ou 60 jours nets).</w:t>
      </w:r>
    </w:p>
    <w:p w:rsidR="007A3373" w:rsidRPr="0086696A" w:rsidRDefault="007A3373" w:rsidP="00CC7A6D">
      <w:pPr>
        <w:pStyle w:val="revuetexte"/>
        <w:spacing w:after="60"/>
        <w:ind w:left="0"/>
        <w:jc w:val="both"/>
        <w:rPr>
          <w:rFonts w:ascii="Calibri" w:hAnsi="Calibri"/>
          <w:color w:val="002060"/>
          <w:sz w:val="20"/>
          <w:szCs w:val="20"/>
        </w:rPr>
      </w:pPr>
      <w:r w:rsidRPr="0086696A">
        <w:rPr>
          <w:rFonts w:ascii="Calibri" w:hAnsi="Calibri"/>
          <w:color w:val="002060"/>
          <w:sz w:val="20"/>
          <w:szCs w:val="20"/>
        </w:rPr>
        <w:t>Ils peuvent également proposer de retenir, comme point de départ de ce délai, la date de réception des marchandises ou d'exécution de la prestation de services demandée.</w:t>
      </w:r>
    </w:p>
    <w:p w:rsidR="007A3373" w:rsidRPr="0086696A" w:rsidRDefault="007A3373" w:rsidP="00CC7A6D">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Des accords sont conclus à cet effet par leurs organisations professionnelles. Un décret peut étendre le nouveau délai maximum de paiement à tous les opérateurs du secteur ou, le cas échéant, valider le nouveau mode de computation et l'étendre à ces mêmes opérateurs. </w:t>
      </w:r>
    </w:p>
    <w:p w:rsidR="00FC590B" w:rsidRDefault="007A3373" w:rsidP="00CC7A6D">
      <w:pPr>
        <w:pStyle w:val="revuetexte"/>
        <w:spacing w:after="60"/>
        <w:ind w:left="0"/>
        <w:jc w:val="both"/>
        <w:rPr>
          <w:rFonts w:ascii="Calibri" w:hAnsi="Calibri"/>
          <w:color w:val="002060"/>
          <w:sz w:val="20"/>
          <w:szCs w:val="20"/>
        </w:rPr>
      </w:pPr>
      <w:r w:rsidRPr="0086696A">
        <w:rPr>
          <w:rFonts w:ascii="Calibri" w:hAnsi="Calibri"/>
          <w:color w:val="002060"/>
          <w:sz w:val="20"/>
          <w:szCs w:val="20"/>
        </w:rPr>
        <w:t>Nonobstant les dispositions précédentes, pour le transport routier de marchandises, pour la location de véhicules avec ou sans conducteur, pour la commission de transport ainsi que pour les activités de transitaire, d'agent maritime et de fret aérien, de courtier de fret et de commissionnaire en douane, les délais de paiement convenus ne peuvent en aucun cas dépasser trente jours à compter de la date d'émission de la facture.</w:t>
      </w:r>
    </w:p>
    <w:p w:rsidR="007A3373" w:rsidRDefault="007A3373" w:rsidP="00FC590B">
      <w:pPr>
        <w:pStyle w:val="revuetexte"/>
        <w:spacing w:after="120"/>
        <w:ind w:left="0"/>
        <w:jc w:val="both"/>
        <w:rPr>
          <w:rFonts w:ascii="Calibri" w:hAnsi="Calibri"/>
          <w:color w:val="002060"/>
          <w:sz w:val="20"/>
          <w:szCs w:val="20"/>
        </w:rPr>
      </w:pPr>
      <w:r w:rsidRPr="0086696A">
        <w:rPr>
          <w:rFonts w:ascii="Calibri" w:hAnsi="Calibri"/>
          <w:color w:val="002060"/>
          <w:sz w:val="20"/>
          <w:szCs w:val="20"/>
        </w:rPr>
        <w:t>Pour les livraisons de marchandises qui font l'objet d'une importation dans le territoire fiscal des départements de la Guadeloupe, de la Martinique, de la Guyane et de La Réunion, ainsi que des collectivités d'</w:t>
      </w:r>
      <w:r w:rsidR="00D93C2C" w:rsidRPr="0086696A">
        <w:rPr>
          <w:rFonts w:ascii="Calibri" w:hAnsi="Calibri"/>
          <w:color w:val="002060"/>
          <w:sz w:val="20"/>
          <w:szCs w:val="20"/>
        </w:rPr>
        <w:t>outre-mer</w:t>
      </w:r>
      <w:r w:rsidRPr="0086696A">
        <w:rPr>
          <w:rFonts w:ascii="Calibri" w:hAnsi="Calibri"/>
          <w:color w:val="002060"/>
          <w:sz w:val="20"/>
          <w:szCs w:val="20"/>
        </w:rPr>
        <w:t xml:space="preserve"> de Mayotte, de Saint-</w:t>
      </w:r>
      <w:r w:rsidRPr="00D93C2C">
        <w:rPr>
          <w:rFonts w:ascii="Calibri" w:hAnsi="Calibri"/>
          <w:color w:val="002060"/>
          <w:sz w:val="20"/>
          <w:szCs w:val="20"/>
        </w:rPr>
        <w:t xml:space="preserve">Pierre et Miquelon, de Saint-Martin et de Saint-Barthélemy, le délai (c. com. </w:t>
      </w:r>
      <w:hyperlink r:id="rId11" w:tgtFrame="_blank" w:history="1">
        <w:r w:rsidRPr="00D93C2C">
          <w:rPr>
            <w:rStyle w:val="Lienhypertexte"/>
            <w:rFonts w:ascii="Calibri" w:hAnsi="Calibri"/>
            <w:color w:val="002060"/>
            <w:sz w:val="20"/>
            <w:szCs w:val="20"/>
            <w:u w:val="none"/>
          </w:rPr>
          <w:t>art. L. 441-6</w:t>
        </w:r>
      </w:hyperlink>
      <w:r w:rsidRPr="00D93C2C">
        <w:rPr>
          <w:rFonts w:ascii="Calibri" w:hAnsi="Calibri"/>
          <w:color w:val="002060"/>
          <w:sz w:val="20"/>
          <w:szCs w:val="20"/>
        </w:rPr>
        <w:t>, al. 9) est décompté à partir de la date</w:t>
      </w:r>
      <w:r w:rsidRPr="0086696A">
        <w:rPr>
          <w:rFonts w:ascii="Calibri" w:hAnsi="Calibri"/>
          <w:color w:val="002060"/>
          <w:sz w:val="20"/>
          <w:szCs w:val="20"/>
        </w:rPr>
        <w:t xml:space="preserve"> de réception des marchandises (dédouanement).</w:t>
      </w:r>
    </w:p>
    <w:p w:rsidR="007A3373" w:rsidRPr="00CC7A6D" w:rsidRDefault="007A3373" w:rsidP="00CC7A6D">
      <w:pPr>
        <w:pStyle w:val="revuetexte"/>
        <w:numPr>
          <w:ilvl w:val="0"/>
          <w:numId w:val="2"/>
        </w:numPr>
        <w:spacing w:after="60"/>
        <w:ind w:left="170" w:hanging="170"/>
        <w:jc w:val="both"/>
        <w:rPr>
          <w:rFonts w:ascii="Calibri" w:hAnsi="Calibri"/>
          <w:color w:val="002060"/>
          <w:sz w:val="20"/>
          <w:szCs w:val="20"/>
        </w:rPr>
      </w:pPr>
      <w:r w:rsidRPr="00CC7A6D">
        <w:rPr>
          <w:rStyle w:val="lev"/>
          <w:rFonts w:ascii="Calibri" w:hAnsi="Calibri"/>
          <w:color w:val="002060"/>
          <w:sz w:val="20"/>
          <w:szCs w:val="20"/>
        </w:rPr>
        <w:t xml:space="preserve">Les autres dérogations possibles </w:t>
      </w:r>
    </w:p>
    <w:p w:rsidR="007A3373" w:rsidRPr="0086696A" w:rsidRDefault="00CC7A6D" w:rsidP="00CC7A6D">
      <w:pPr>
        <w:pStyle w:val="revuetexte"/>
        <w:spacing w:after="60"/>
        <w:ind w:left="283" w:hanging="170"/>
        <w:jc w:val="both"/>
        <w:rPr>
          <w:rFonts w:ascii="Calibri" w:hAnsi="Calibri"/>
          <w:color w:val="002060"/>
          <w:sz w:val="20"/>
          <w:szCs w:val="20"/>
        </w:rPr>
      </w:pPr>
      <w:r w:rsidRPr="00C94CB6">
        <w:rPr>
          <w:noProof/>
        </w:rPr>
        <w:drawing>
          <wp:inline distT="0" distB="0" distL="0" distR="0" wp14:anchorId="31466407" wp14:editId="747823FA">
            <wp:extent cx="114300" cy="95250"/>
            <wp:effectExtent l="0" t="0" r="0" b="0"/>
            <wp:docPr id="30" name="Image 3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Des accords interprofessionnels dans un secteur déterminé peuvent définir un délai de paiement maximum supérieur </w:t>
      </w:r>
      <w:r w:rsidR="007A3373" w:rsidRPr="0086696A">
        <w:rPr>
          <w:rFonts w:ascii="Calibri" w:hAnsi="Calibri"/>
          <w:color w:val="002060"/>
          <w:sz w:val="20"/>
          <w:szCs w:val="20"/>
        </w:rPr>
        <w:t>à celui prévu au neuvième alinéa de l'article L. 441-6 du code de commerce, sous réserve :</w:t>
      </w:r>
    </w:p>
    <w:p w:rsidR="007A3373" w:rsidRPr="0086696A" w:rsidRDefault="007A3373" w:rsidP="00CC7A6D">
      <w:pPr>
        <w:pStyle w:val="revuetexte"/>
        <w:spacing w:after="60"/>
        <w:ind w:left="284"/>
        <w:jc w:val="both"/>
        <w:rPr>
          <w:rFonts w:ascii="Calibri" w:hAnsi="Calibri"/>
          <w:color w:val="002060"/>
          <w:sz w:val="20"/>
          <w:szCs w:val="20"/>
        </w:rPr>
      </w:pPr>
      <w:r w:rsidRPr="0086696A">
        <w:rPr>
          <w:rFonts w:ascii="Calibri" w:hAnsi="Calibri"/>
          <w:color w:val="002060"/>
          <w:sz w:val="20"/>
          <w:szCs w:val="20"/>
        </w:rPr>
        <w:t>1° que le dépassement du délai légal soit motivé par des raisons économiques objectives et spécifiques à ce secteur, notamment au regard des délais de paiement constatés dans le secteur en 2007 ou de la situation particulière de rotation des stocks ;</w:t>
      </w:r>
    </w:p>
    <w:p w:rsidR="007A3373" w:rsidRPr="0086696A" w:rsidRDefault="007A3373" w:rsidP="00CC7A6D">
      <w:pPr>
        <w:pStyle w:val="revuetexte"/>
        <w:spacing w:after="60"/>
        <w:ind w:left="284"/>
        <w:jc w:val="both"/>
        <w:rPr>
          <w:rFonts w:ascii="Calibri" w:hAnsi="Calibri"/>
          <w:color w:val="002060"/>
          <w:sz w:val="20"/>
          <w:szCs w:val="20"/>
        </w:rPr>
      </w:pPr>
      <w:r w:rsidRPr="0086696A">
        <w:rPr>
          <w:rFonts w:ascii="Calibri" w:hAnsi="Calibri"/>
          <w:color w:val="002060"/>
          <w:sz w:val="20"/>
          <w:szCs w:val="20"/>
        </w:rPr>
        <w:t>2° que l'accord prévoie la réduction progressive du délai dérogatoire vers le délai légal et l'application d'intérêts de retard en cas de non-respect du délai dérogatoire fixé dans l'accord ;</w:t>
      </w:r>
    </w:p>
    <w:p w:rsidR="007A3373" w:rsidRPr="0086696A" w:rsidRDefault="007A3373" w:rsidP="00CC7A6D">
      <w:pPr>
        <w:pStyle w:val="revuetexte"/>
        <w:spacing w:after="60"/>
        <w:ind w:left="284"/>
        <w:jc w:val="both"/>
        <w:rPr>
          <w:rFonts w:ascii="Calibri" w:hAnsi="Calibri"/>
          <w:color w:val="002060"/>
          <w:sz w:val="20"/>
          <w:szCs w:val="20"/>
        </w:rPr>
      </w:pPr>
      <w:r w:rsidRPr="0086696A">
        <w:rPr>
          <w:rFonts w:ascii="Calibri" w:hAnsi="Calibri"/>
          <w:color w:val="002060"/>
          <w:sz w:val="20"/>
          <w:szCs w:val="20"/>
        </w:rPr>
        <w:t>3° que l'accord soit limité dans sa durée et que celle-ci ne dépasse pas le 1</w:t>
      </w:r>
      <w:r w:rsidRPr="0086696A">
        <w:rPr>
          <w:rFonts w:ascii="Calibri" w:hAnsi="Calibri"/>
          <w:color w:val="002060"/>
          <w:sz w:val="20"/>
          <w:szCs w:val="20"/>
          <w:vertAlign w:val="superscript"/>
        </w:rPr>
        <w:t>er</w:t>
      </w:r>
      <w:r w:rsidRPr="0086696A">
        <w:rPr>
          <w:rFonts w:ascii="Calibri" w:hAnsi="Calibri"/>
          <w:color w:val="002060"/>
          <w:sz w:val="20"/>
          <w:szCs w:val="20"/>
        </w:rPr>
        <w:t xml:space="preserve"> janvier 2012.</w:t>
      </w:r>
    </w:p>
    <w:p w:rsidR="007A3373" w:rsidRPr="0086696A" w:rsidRDefault="007A3373" w:rsidP="00CC7A6D">
      <w:pPr>
        <w:pStyle w:val="revuetexte"/>
        <w:spacing w:after="60"/>
        <w:ind w:left="284"/>
        <w:jc w:val="both"/>
        <w:rPr>
          <w:rFonts w:ascii="Calibri" w:hAnsi="Calibri"/>
          <w:color w:val="002060"/>
          <w:sz w:val="20"/>
          <w:szCs w:val="20"/>
        </w:rPr>
      </w:pPr>
      <w:r w:rsidRPr="0086696A">
        <w:rPr>
          <w:rFonts w:ascii="Calibri" w:hAnsi="Calibri"/>
          <w:color w:val="002060"/>
          <w:sz w:val="20"/>
          <w:szCs w:val="20"/>
        </w:rPr>
        <w:t>Ces accords conclus avant le 1</w:t>
      </w:r>
      <w:r w:rsidRPr="0086696A">
        <w:rPr>
          <w:rFonts w:ascii="Calibri" w:hAnsi="Calibri"/>
          <w:color w:val="002060"/>
          <w:sz w:val="20"/>
          <w:szCs w:val="20"/>
          <w:vertAlign w:val="superscript"/>
        </w:rPr>
        <w:t>er</w:t>
      </w:r>
      <w:r w:rsidRPr="0086696A">
        <w:rPr>
          <w:rFonts w:ascii="Calibri" w:hAnsi="Calibri"/>
          <w:color w:val="002060"/>
          <w:sz w:val="20"/>
          <w:szCs w:val="20"/>
        </w:rPr>
        <w:t xml:space="preserve"> mars 2009 sont reconnus comme satisfaisant à ces conditions par décret pris après avis du Conseil de </w:t>
      </w:r>
      <w:smartTag w:uri="urn:schemas-microsoft-com:office:smarttags" w:element="PersonName">
        <w:smartTagPr>
          <w:attr w:name="ProductID" w:val="la concurrence. Ce"/>
        </w:smartTagPr>
        <w:r w:rsidRPr="0086696A">
          <w:rPr>
            <w:rFonts w:ascii="Calibri" w:hAnsi="Calibri"/>
            <w:color w:val="002060"/>
            <w:sz w:val="20"/>
            <w:szCs w:val="20"/>
          </w:rPr>
          <w:t>la concurrence. Ce</w:t>
        </w:r>
      </w:smartTag>
      <w:r w:rsidRPr="0086696A">
        <w:rPr>
          <w:rFonts w:ascii="Calibri" w:hAnsi="Calibri"/>
          <w:color w:val="002060"/>
          <w:sz w:val="20"/>
          <w:szCs w:val="20"/>
        </w:rPr>
        <w:t xml:space="preserve"> décret peut étendre le délai dérogatoire à tous les opérateurs dont l'activité relève des organisations professionnelles signataires de l'accord.</w:t>
      </w:r>
    </w:p>
    <w:p w:rsidR="00907DBF" w:rsidRDefault="007A3373" w:rsidP="00907DBF">
      <w:pPr>
        <w:pStyle w:val="revuetexte"/>
        <w:spacing w:after="100" w:afterAutospacing="1"/>
        <w:ind w:left="284"/>
        <w:jc w:val="both"/>
        <w:rPr>
          <w:rFonts w:ascii="Calibri" w:hAnsi="Calibri"/>
          <w:color w:val="002060"/>
          <w:sz w:val="20"/>
          <w:szCs w:val="20"/>
        </w:rPr>
      </w:pPr>
      <w:r w:rsidRPr="0086696A">
        <w:rPr>
          <w:rFonts w:ascii="Calibri" w:hAnsi="Calibri"/>
          <w:color w:val="002060"/>
          <w:sz w:val="20"/>
          <w:szCs w:val="20"/>
        </w:rPr>
        <w:t xml:space="preserve">Selon la DGCCRF, « une entreprise ne peut pas se voir imposer par son débiteur un accord dérogatoire si elle ne le souhaite pas. [...]. En revanche, le débiteur ne peut se prévaloir de l'accord dérogatoire pour opposer le délai maximum à son créancier » </w:t>
      </w:r>
    </w:p>
    <w:p w:rsidR="007A3373" w:rsidRPr="00DB7C7E" w:rsidRDefault="007A3373" w:rsidP="00D93C2C">
      <w:pPr>
        <w:pStyle w:val="revueintertitre"/>
        <w:spacing w:before="0" w:after="120"/>
        <w:ind w:left="0"/>
        <w:jc w:val="both"/>
        <w:rPr>
          <w:rFonts w:ascii="Calibri" w:hAnsi="Calibri"/>
          <w:color w:val="002060"/>
          <w:sz w:val="24"/>
          <w:szCs w:val="26"/>
        </w:rPr>
      </w:pPr>
      <w:r w:rsidRPr="00DB7C7E">
        <w:rPr>
          <w:rFonts w:ascii="Calibri" w:hAnsi="Calibri"/>
          <w:color w:val="002060"/>
          <w:sz w:val="24"/>
          <w:szCs w:val="26"/>
        </w:rPr>
        <w:t>L</w:t>
      </w:r>
      <w:r w:rsidR="00907DBF" w:rsidRPr="00DB7C7E">
        <w:rPr>
          <w:rFonts w:ascii="Calibri" w:hAnsi="Calibri"/>
          <w:caps w:val="0"/>
          <w:color w:val="002060"/>
          <w:sz w:val="24"/>
          <w:szCs w:val="26"/>
        </w:rPr>
        <w:t xml:space="preserve">a facture </w:t>
      </w:r>
    </w:p>
    <w:p w:rsidR="007A3373" w:rsidRPr="0086696A" w:rsidRDefault="007A3373" w:rsidP="007D66A9">
      <w:pPr>
        <w:pStyle w:val="revuetexte"/>
        <w:spacing w:after="0"/>
        <w:ind w:left="0"/>
        <w:jc w:val="both"/>
        <w:rPr>
          <w:rFonts w:ascii="Calibri" w:hAnsi="Calibri"/>
          <w:color w:val="002060"/>
          <w:sz w:val="20"/>
          <w:szCs w:val="20"/>
        </w:rPr>
      </w:pPr>
      <w:r w:rsidRPr="0086696A">
        <w:rPr>
          <w:rFonts w:ascii="Calibri" w:hAnsi="Calibri"/>
          <w:color w:val="002060"/>
          <w:sz w:val="20"/>
          <w:szCs w:val="20"/>
        </w:rPr>
        <w:t>La facture, outre son caractère obligatoire et son rôle de preuve dans la relation commerciale, est un élément clé de la gestion du risque clients et des liquidités de l'entreprise.</w:t>
      </w:r>
    </w:p>
    <w:p w:rsidR="003A1C4D" w:rsidRDefault="007A3373" w:rsidP="007D66A9">
      <w:pPr>
        <w:pStyle w:val="revuetexte"/>
        <w:spacing w:after="60"/>
        <w:ind w:left="0"/>
        <w:jc w:val="both"/>
        <w:rPr>
          <w:rFonts w:ascii="Calibri" w:hAnsi="Calibri"/>
          <w:color w:val="002060"/>
          <w:sz w:val="20"/>
          <w:szCs w:val="20"/>
        </w:rPr>
      </w:pPr>
      <w:r w:rsidRPr="0086696A">
        <w:rPr>
          <w:rFonts w:ascii="Calibri" w:hAnsi="Calibri"/>
          <w:color w:val="002060"/>
          <w:sz w:val="20"/>
          <w:szCs w:val="20"/>
        </w:rPr>
        <w:lastRenderedPageBreak/>
        <w:t>Une attention particulière doit y être portée. Respectueuse des obligations légales, enrichie d'autres dispositions, la facture limite les litiges, les retards de paiement et les sanctions en cas de contrôle de la DGCCRF. Nous rappelons ci-après les mentions obligatoires devant y figurer.</w:t>
      </w:r>
    </w:p>
    <w:p w:rsidR="003A1C4D" w:rsidRDefault="007A3373" w:rsidP="003A1C4D">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Le numéro de TVA intracommunautaire de l'émetteur, </w:t>
      </w:r>
      <w:r w:rsidRPr="003A1C4D">
        <w:rPr>
          <w:rFonts w:ascii="Calibri" w:hAnsi="Calibri"/>
          <w:color w:val="002060"/>
          <w:sz w:val="20"/>
          <w:szCs w:val="20"/>
        </w:rPr>
        <w:t>obligatoire, est à préciser pour toutes les opérations nationales, communautaires, et internationales.</w:t>
      </w:r>
    </w:p>
    <w:p w:rsidR="003A1C4D" w:rsidRDefault="007A3373" w:rsidP="003A1C4D">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Le numéro de TVA intracommunautaire du client : </w:t>
      </w:r>
      <w:r w:rsidRPr="003A1C4D">
        <w:rPr>
          <w:rFonts w:ascii="Calibri" w:hAnsi="Calibri"/>
          <w:color w:val="002060"/>
          <w:sz w:val="20"/>
          <w:szCs w:val="20"/>
        </w:rPr>
        <w:t xml:space="preserve">le numéro est obligatoire en cas de livraison intracommunautaire. Sa validité peut être vérifiée à l'adresse suivante : www.europa.eu.int/comm/taxation_customs/vies/fr/vieshome.htm </w:t>
      </w:r>
    </w:p>
    <w:p w:rsidR="003A1C4D" w:rsidRDefault="007A3373" w:rsidP="003A1C4D">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Le numéro de facture : </w:t>
      </w:r>
      <w:r w:rsidRPr="003A1C4D">
        <w:rPr>
          <w:rFonts w:ascii="Calibri" w:hAnsi="Calibri"/>
          <w:color w:val="002060"/>
          <w:sz w:val="20"/>
          <w:szCs w:val="20"/>
        </w:rPr>
        <w:t xml:space="preserve">la numérotation des factures doit être basée sur une séquence chronologique et continue. La numérotation par séries distinctes est possible lorsque les conditions d'exercice de l'entreprise le justifient (exemple : facturation différente des livraisons et des prestations de service). </w:t>
      </w:r>
    </w:p>
    <w:p w:rsidR="003A1C4D" w:rsidRDefault="007A3373" w:rsidP="003A1C4D">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La date de la facture : </w:t>
      </w:r>
      <w:r w:rsidRPr="003A1C4D">
        <w:rPr>
          <w:rFonts w:ascii="Calibri" w:hAnsi="Calibri"/>
          <w:color w:val="002060"/>
          <w:sz w:val="20"/>
          <w:szCs w:val="20"/>
        </w:rPr>
        <w:t xml:space="preserve">le client doit être facturé dès que la vente est réalisée ou que le service est rendu. Il est toutefois admis de différer de quelques jours la facturation, s'il existe des contraintes de gestion. Est en outre à mentionner la date de livraison ou de la prestation si elle diffère de la date de délivrance de la facture. </w:t>
      </w:r>
    </w:p>
    <w:p w:rsidR="003A1C4D" w:rsidRDefault="007A3373" w:rsidP="003A1C4D">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La date de règlement : </w:t>
      </w:r>
      <w:r w:rsidRPr="003A1C4D">
        <w:rPr>
          <w:rFonts w:ascii="Calibri" w:hAnsi="Calibri"/>
          <w:color w:val="002060"/>
          <w:sz w:val="20"/>
          <w:szCs w:val="20"/>
        </w:rPr>
        <w:t>il faut indiquer la date à laquelle le règlement doit intervenir (préciser le jour le mois et l'année) et non pas le délai de règlement. Attention, depuis le 1</w:t>
      </w:r>
      <w:r w:rsidRPr="003A1C4D">
        <w:rPr>
          <w:rFonts w:ascii="Calibri" w:hAnsi="Calibri"/>
          <w:color w:val="002060"/>
          <w:sz w:val="20"/>
          <w:szCs w:val="20"/>
          <w:vertAlign w:val="superscript"/>
        </w:rPr>
        <w:t>er</w:t>
      </w:r>
      <w:r w:rsidRPr="003A1C4D">
        <w:rPr>
          <w:rFonts w:ascii="Calibri" w:hAnsi="Calibri"/>
          <w:color w:val="002060"/>
          <w:sz w:val="20"/>
          <w:szCs w:val="20"/>
        </w:rPr>
        <w:t xml:space="preserve"> janvier 2009, la date de règlement ne peut pas excéder 60 jours nets ou 45 jours fin de mois à compter de la date d'émission de la facture.</w:t>
      </w:r>
    </w:p>
    <w:p w:rsidR="003A1C4D" w:rsidRDefault="007A3373" w:rsidP="003A1C4D">
      <w:pPr>
        <w:pStyle w:val="revuetexte"/>
        <w:numPr>
          <w:ilvl w:val="0"/>
          <w:numId w:val="2"/>
        </w:numPr>
        <w:spacing w:after="0"/>
        <w:ind w:left="170" w:hanging="170"/>
        <w:jc w:val="both"/>
        <w:rPr>
          <w:rFonts w:ascii="Calibri" w:hAnsi="Calibri"/>
          <w:color w:val="002060"/>
          <w:sz w:val="20"/>
          <w:szCs w:val="20"/>
        </w:rPr>
      </w:pPr>
      <w:r w:rsidRPr="003A1C4D">
        <w:rPr>
          <w:rStyle w:val="lev"/>
          <w:rFonts w:ascii="Calibri" w:hAnsi="Calibri"/>
          <w:color w:val="002060"/>
          <w:sz w:val="20"/>
          <w:szCs w:val="20"/>
        </w:rPr>
        <w:t xml:space="preserve">Les réductions de prix : </w:t>
      </w:r>
      <w:r w:rsidRPr="003A1C4D">
        <w:rPr>
          <w:rFonts w:ascii="Calibri" w:hAnsi="Calibri"/>
          <w:color w:val="002060"/>
          <w:sz w:val="20"/>
          <w:szCs w:val="20"/>
        </w:rPr>
        <w:t>doivent uniquement figurer sur la facture les réductions de prix acquises au jour de la vente et directement liées à l'opération.</w:t>
      </w:r>
    </w:p>
    <w:p w:rsidR="003A1C4D" w:rsidRDefault="007A3373" w:rsidP="003A1C4D">
      <w:pPr>
        <w:pStyle w:val="revuetexte"/>
        <w:spacing w:after="60"/>
        <w:ind w:left="170"/>
        <w:jc w:val="both"/>
        <w:rPr>
          <w:rFonts w:ascii="Calibri" w:hAnsi="Calibri"/>
          <w:color w:val="002060"/>
          <w:sz w:val="20"/>
          <w:szCs w:val="20"/>
        </w:rPr>
      </w:pPr>
      <w:r w:rsidRPr="003A1C4D">
        <w:rPr>
          <w:rFonts w:ascii="Calibri" w:hAnsi="Calibri"/>
          <w:color w:val="002060"/>
          <w:sz w:val="20"/>
          <w:szCs w:val="20"/>
        </w:rPr>
        <w:t>Les remises conditionnelles doivent faire l'objet de factures d'avoir.</w:t>
      </w:r>
    </w:p>
    <w:p w:rsidR="003A1C4D" w:rsidRDefault="007A3373" w:rsidP="00A50217">
      <w:pPr>
        <w:pStyle w:val="revuetexte"/>
        <w:numPr>
          <w:ilvl w:val="0"/>
          <w:numId w:val="2"/>
        </w:numPr>
        <w:spacing w:after="60"/>
        <w:ind w:left="170" w:hanging="170"/>
        <w:jc w:val="both"/>
        <w:rPr>
          <w:rFonts w:ascii="Calibri" w:hAnsi="Calibri"/>
          <w:color w:val="002060"/>
          <w:sz w:val="20"/>
          <w:szCs w:val="20"/>
        </w:rPr>
      </w:pPr>
      <w:r w:rsidRPr="003A1C4D">
        <w:rPr>
          <w:rStyle w:val="lev"/>
          <w:rFonts w:ascii="Calibri" w:hAnsi="Calibri"/>
          <w:color w:val="002060"/>
          <w:sz w:val="20"/>
          <w:szCs w:val="20"/>
        </w:rPr>
        <w:t xml:space="preserve">La TVA : </w:t>
      </w:r>
      <w:r w:rsidRPr="003A1C4D">
        <w:rPr>
          <w:rFonts w:ascii="Calibri" w:hAnsi="Calibri"/>
          <w:color w:val="002060"/>
          <w:sz w:val="20"/>
          <w:szCs w:val="20"/>
        </w:rPr>
        <w:t>en cas d'exonération ou de facturation sans taxe, il est nécessaire de mentionner la référence à la disposition qui l'autorise.</w:t>
      </w:r>
    </w:p>
    <w:p w:rsidR="00A50217" w:rsidRDefault="007A3373" w:rsidP="00A50217">
      <w:pPr>
        <w:pStyle w:val="revuetexte"/>
        <w:numPr>
          <w:ilvl w:val="0"/>
          <w:numId w:val="2"/>
        </w:numPr>
        <w:spacing w:after="0"/>
        <w:ind w:left="170" w:hanging="170"/>
        <w:jc w:val="both"/>
        <w:rPr>
          <w:rFonts w:ascii="Calibri" w:hAnsi="Calibri"/>
          <w:color w:val="002060"/>
          <w:sz w:val="20"/>
          <w:szCs w:val="20"/>
        </w:rPr>
      </w:pPr>
      <w:r w:rsidRPr="003A1C4D">
        <w:rPr>
          <w:rStyle w:val="lev"/>
          <w:rFonts w:ascii="Calibri" w:hAnsi="Calibri"/>
          <w:color w:val="002060"/>
          <w:sz w:val="20"/>
          <w:szCs w:val="20"/>
        </w:rPr>
        <w:t xml:space="preserve">Le taux d'escompte : </w:t>
      </w:r>
      <w:r w:rsidRPr="003A1C4D">
        <w:rPr>
          <w:rFonts w:ascii="Calibri" w:hAnsi="Calibri"/>
          <w:color w:val="002060"/>
          <w:sz w:val="20"/>
          <w:szCs w:val="20"/>
        </w:rPr>
        <w:t>C'est une mention obligatoire qui doit figurer en clair sur la facture. Si aucun escompte n'est accordé quelle que soit la date du règlement, une mention doit en informer le client (par exemple, « escompte 0 % » ou « sans escompte »).</w:t>
      </w:r>
    </w:p>
    <w:p w:rsidR="00A50217" w:rsidRDefault="00A50217" w:rsidP="00A50217">
      <w:pPr>
        <w:pStyle w:val="revuetexte"/>
        <w:spacing w:after="60"/>
        <w:ind w:left="170"/>
        <w:jc w:val="both"/>
        <w:rPr>
          <w:rFonts w:ascii="Calibri" w:hAnsi="Calibri"/>
          <w:color w:val="002060"/>
          <w:sz w:val="20"/>
          <w:szCs w:val="20"/>
        </w:rPr>
      </w:pPr>
      <w:r w:rsidRPr="00A50217">
        <w:rPr>
          <w:rStyle w:val="lev"/>
          <w:rFonts w:ascii="Calibri" w:hAnsi="Calibri"/>
          <w:b w:val="0"/>
          <w:color w:val="002060"/>
          <w:sz w:val="20"/>
          <w:szCs w:val="20"/>
        </w:rPr>
        <w:t>Remarque :</w:t>
      </w:r>
      <w:r w:rsidRPr="00A50217">
        <w:rPr>
          <w:rFonts w:ascii="Calibri" w:hAnsi="Calibri"/>
          <w:color w:val="002060"/>
          <w:sz w:val="20"/>
          <w:szCs w:val="20"/>
        </w:rPr>
        <w:t xml:space="preserve"> u</w:t>
      </w:r>
      <w:r w:rsidR="007A3373" w:rsidRPr="00A50217">
        <w:rPr>
          <w:rFonts w:ascii="Calibri" w:hAnsi="Calibri"/>
          <w:color w:val="002060"/>
          <w:sz w:val="20"/>
          <w:szCs w:val="20"/>
        </w:rPr>
        <w:t>tiliser l'escompte est un bon moyen d'améliorer la rotation du poste client et permet à l'acheteur dont la trésorerie est excédentaire d'améliorer la rentabilité de ses placements.</w:t>
      </w:r>
    </w:p>
    <w:p w:rsidR="007A3373" w:rsidRPr="00A50217" w:rsidRDefault="007A3373" w:rsidP="00A50217">
      <w:pPr>
        <w:pStyle w:val="revuetexte"/>
        <w:numPr>
          <w:ilvl w:val="0"/>
          <w:numId w:val="2"/>
        </w:numPr>
        <w:spacing w:after="100" w:afterAutospacing="1"/>
        <w:ind w:left="170" w:hanging="170"/>
        <w:jc w:val="both"/>
        <w:rPr>
          <w:rFonts w:ascii="Calibri" w:hAnsi="Calibri"/>
          <w:color w:val="002060"/>
          <w:sz w:val="20"/>
          <w:szCs w:val="20"/>
        </w:rPr>
      </w:pPr>
      <w:r w:rsidRPr="00A50217">
        <w:rPr>
          <w:rStyle w:val="lev"/>
          <w:rFonts w:ascii="Calibri" w:hAnsi="Calibri"/>
          <w:color w:val="002060"/>
          <w:sz w:val="20"/>
          <w:szCs w:val="20"/>
        </w:rPr>
        <w:t xml:space="preserve">Les pénalités de retard : </w:t>
      </w:r>
      <w:r w:rsidRPr="00A50217">
        <w:rPr>
          <w:rFonts w:ascii="Calibri" w:hAnsi="Calibri"/>
          <w:color w:val="002060"/>
          <w:sz w:val="20"/>
          <w:szCs w:val="20"/>
        </w:rPr>
        <w:t>les pénalités doivent être calculées sur la base du prix TTC figurant sur la facture et sont exigibles à partir du jour suivant la date de règlement indiquée sur la facture. Leur taux ne peut être en aucun cas inférieur à 3 fois le taux d'int</w:t>
      </w:r>
      <w:r w:rsidR="00A50217">
        <w:rPr>
          <w:rFonts w:ascii="Calibri" w:hAnsi="Calibri"/>
          <w:color w:val="002060"/>
          <w:sz w:val="20"/>
          <w:szCs w:val="20"/>
        </w:rPr>
        <w:t xml:space="preserve">érêt légal en vigueur. </w:t>
      </w:r>
      <w:r w:rsidRPr="00A50217">
        <w:rPr>
          <w:rFonts w:ascii="Calibri" w:hAnsi="Calibri"/>
          <w:color w:val="002060"/>
          <w:sz w:val="20"/>
          <w:szCs w:val="20"/>
        </w:rPr>
        <w:t>Le taux retenu par l'entreprise doit f</w:t>
      </w:r>
      <w:r w:rsidR="00A50217">
        <w:rPr>
          <w:rFonts w:ascii="Calibri" w:hAnsi="Calibri"/>
          <w:color w:val="002060"/>
          <w:sz w:val="20"/>
          <w:szCs w:val="20"/>
        </w:rPr>
        <w:t>igurer en clair sur la facture.</w:t>
      </w:r>
    </w:p>
    <w:p w:rsidR="007A3373" w:rsidRPr="00DB7C7E" w:rsidRDefault="00A50217" w:rsidP="00D93C2C">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Les garanties et les sûretés </w:t>
      </w:r>
    </w:p>
    <w:p w:rsidR="007A3373" w:rsidRPr="0086696A" w:rsidRDefault="00A50217" w:rsidP="00A50217">
      <w:pPr>
        <w:pStyle w:val="revuetexte"/>
        <w:spacing w:after="120"/>
        <w:ind w:left="0"/>
        <w:jc w:val="both"/>
        <w:rPr>
          <w:rFonts w:ascii="Calibri" w:hAnsi="Calibri"/>
          <w:color w:val="002060"/>
          <w:sz w:val="20"/>
          <w:szCs w:val="20"/>
        </w:rPr>
      </w:pPr>
      <w:r>
        <w:rPr>
          <w:rFonts w:ascii="Calibri" w:hAnsi="Calibri"/>
          <w:color w:val="002060"/>
          <w:sz w:val="20"/>
          <w:szCs w:val="20"/>
        </w:rPr>
        <w:t>Les principales garantie et sûretés (</w:t>
      </w:r>
      <w:r w:rsidR="007A3373" w:rsidRPr="0086696A">
        <w:rPr>
          <w:rFonts w:ascii="Calibri" w:hAnsi="Calibri"/>
          <w:color w:val="002060"/>
          <w:sz w:val="20"/>
          <w:szCs w:val="20"/>
        </w:rPr>
        <w:t>liste non exhaustive</w:t>
      </w:r>
      <w:r>
        <w:rPr>
          <w:rFonts w:ascii="Calibri" w:hAnsi="Calibri"/>
          <w:color w:val="002060"/>
          <w:sz w:val="20"/>
          <w:szCs w:val="20"/>
        </w:rPr>
        <w:t>) :</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La garantie à première demande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La garantie à première demande reprend une formule inconditionnelle issue des marchés publics et des contrats internationaux, dans laquelle un garant accepte de payer un tiers bénéficiaire, sitôt que celui-ci le requiert, et sans qu'aucune exception puisse être opposée à ce tiers, sauf abus ou fraude manifestes du bénéficiaire ou collusion.</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De plus en plus utilisée dans les marchés privés, et principalement auprès des banques qui la sollicitent, elle est tenue, pour les marchés publics, de reproduire le formalisme du modèle imposé par </w:t>
      </w:r>
      <w:smartTag w:uri="urn:schemas-microsoft-com:office:smarttags" w:element="PersonName">
        <w:smartTagPr>
          <w:attr w:name="ProductID" w:val="la loi. L'ordonnance"/>
        </w:smartTagPr>
        <w:r w:rsidRPr="0086696A">
          <w:rPr>
            <w:rFonts w:ascii="Calibri" w:hAnsi="Calibri"/>
            <w:color w:val="002060"/>
            <w:sz w:val="20"/>
            <w:szCs w:val="20"/>
          </w:rPr>
          <w:t>la loi. L'ordonnance</w:t>
        </w:r>
      </w:smartTag>
      <w:r w:rsidRPr="0086696A">
        <w:rPr>
          <w:rFonts w:ascii="Calibri" w:hAnsi="Calibri"/>
          <w:color w:val="002060"/>
          <w:sz w:val="20"/>
          <w:szCs w:val="20"/>
        </w:rPr>
        <w:t xml:space="preserve"> de </w:t>
      </w:r>
      <w:smartTag w:uri="urn:schemas-microsoft-com:office:smarttags" w:element="metricconverter">
        <w:smartTagPr>
          <w:attr w:name="ProductID" w:val="2006 l"/>
        </w:smartTagPr>
        <w:r w:rsidRPr="0086696A">
          <w:rPr>
            <w:rFonts w:ascii="Calibri" w:hAnsi="Calibri"/>
            <w:color w:val="002060"/>
            <w:sz w:val="20"/>
            <w:szCs w:val="20"/>
          </w:rPr>
          <w:t>2006 l</w:t>
        </w:r>
      </w:smartTag>
      <w:r w:rsidRPr="0086696A">
        <w:rPr>
          <w:rFonts w:ascii="Calibri" w:hAnsi="Calibri"/>
          <w:color w:val="002060"/>
          <w:sz w:val="20"/>
          <w:szCs w:val="20"/>
        </w:rPr>
        <w:t>'a également inscrite dans le code civil.</w:t>
      </w:r>
    </w:p>
    <w:p w:rsidR="007A3373" w:rsidRPr="0086696A"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C'est une garantie autonome, c'est-à-dire sans lien avec l'objet pour lequel elle a été mise en place.</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La Stand-by </w:t>
      </w:r>
      <w:proofErr w:type="spellStart"/>
      <w:r w:rsidRPr="0086696A">
        <w:rPr>
          <w:rStyle w:val="revuesousintertitre1"/>
          <w:rFonts w:ascii="Calibri" w:hAnsi="Calibri"/>
          <w:color w:val="002060"/>
          <w:sz w:val="20"/>
          <w:szCs w:val="20"/>
        </w:rPr>
        <w:t>Letter</w:t>
      </w:r>
      <w:proofErr w:type="spellEnd"/>
      <w:r w:rsidRPr="0086696A">
        <w:rPr>
          <w:rStyle w:val="revuesousintertitre1"/>
          <w:rFonts w:ascii="Calibri" w:hAnsi="Calibri"/>
          <w:color w:val="002060"/>
          <w:sz w:val="20"/>
          <w:szCs w:val="20"/>
        </w:rPr>
        <w:t xml:space="preserve"> of </w:t>
      </w:r>
      <w:proofErr w:type="spellStart"/>
      <w:r w:rsidRPr="0086696A">
        <w:rPr>
          <w:rStyle w:val="revuesousintertitre1"/>
          <w:rFonts w:ascii="Calibri" w:hAnsi="Calibri"/>
          <w:color w:val="002060"/>
          <w:sz w:val="20"/>
          <w:szCs w:val="20"/>
        </w:rPr>
        <w:t>Credit</w:t>
      </w:r>
      <w:proofErr w:type="spellEnd"/>
      <w:r w:rsidRPr="0086696A">
        <w:rPr>
          <w:rStyle w:val="revuesousintertitre1"/>
          <w:rFonts w:ascii="Calibri" w:hAnsi="Calibri"/>
          <w:color w:val="002060"/>
          <w:sz w:val="20"/>
          <w:szCs w:val="20"/>
        </w:rPr>
        <w:t xml:space="preserve"> ou le crédit documentaire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Les garanties ou crédits documentaires, fréquentes dans les contrats internationaux, correspondent à l'engagement d'un tiers qui n'est pas partie au contrat (le plus souvent, il s'agit du banquier de l'acheteur) qui certifie qu'il paiera le créancier sur simple présentation de documents ou d'attestations prouvant la réalisation du marché conclu.</w:t>
      </w:r>
    </w:p>
    <w:p w:rsidR="007A3373" w:rsidRPr="0086696A"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À l'initiative du commerce anglo-saxon, il s'est développé jusqu'à permettre de garantir le paiement du prix convenu dès présentation d'un document établissant la bonne exécution du contrat. On les désigne alors de « lettres de crédit </w:t>
      </w:r>
      <w:proofErr w:type="spellStart"/>
      <w:r w:rsidRPr="0086696A">
        <w:rPr>
          <w:rFonts w:ascii="Calibri" w:hAnsi="Calibri"/>
          <w:color w:val="002060"/>
          <w:sz w:val="20"/>
          <w:szCs w:val="20"/>
        </w:rPr>
        <w:t>stand by</w:t>
      </w:r>
      <w:proofErr w:type="spellEnd"/>
      <w:r w:rsidRPr="0086696A">
        <w:rPr>
          <w:rFonts w:ascii="Calibri" w:hAnsi="Calibri"/>
          <w:color w:val="002060"/>
          <w:sz w:val="20"/>
          <w:szCs w:val="20"/>
        </w:rPr>
        <w:t xml:space="preserve"> » </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Le cautionnement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Le cautionnement -  appelé parfois maladroitement « caution » du nom de celui qui s'engage - est la sûreté personnelle la plus utilisée, même si le législateur l'a de plus en plus encadrée, notamment via des dispositions d'ordre public auxquelles les parties ne peuvent déroger.</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Il consiste</w:t>
      </w:r>
      <w:r w:rsidR="00D93C2C">
        <w:rPr>
          <w:rFonts w:ascii="Calibri" w:hAnsi="Calibri"/>
          <w:color w:val="002060"/>
          <w:sz w:val="20"/>
          <w:szCs w:val="20"/>
        </w:rPr>
        <w:t xml:space="preserve"> à</w:t>
      </w:r>
      <w:r w:rsidRPr="0086696A">
        <w:rPr>
          <w:rFonts w:ascii="Calibri" w:hAnsi="Calibri"/>
          <w:color w:val="002060"/>
          <w:sz w:val="20"/>
          <w:szCs w:val="20"/>
        </w:rPr>
        <w:t xml:space="preserve"> :</w:t>
      </w:r>
    </w:p>
    <w:p w:rsidR="007A3373" w:rsidRPr="0086696A" w:rsidRDefault="00D93C2C" w:rsidP="00A50217">
      <w:pPr>
        <w:pStyle w:val="revuetexte"/>
        <w:spacing w:after="60"/>
        <w:ind w:left="170" w:hanging="170"/>
        <w:jc w:val="both"/>
        <w:rPr>
          <w:rFonts w:ascii="Calibri" w:hAnsi="Calibri"/>
          <w:color w:val="002060"/>
          <w:sz w:val="20"/>
          <w:szCs w:val="20"/>
        </w:rPr>
      </w:pPr>
      <w:r>
        <w:rPr>
          <w:rFonts w:ascii="Calibri" w:hAnsi="Calibri"/>
          <w:color w:val="002060"/>
          <w:sz w:val="20"/>
          <w:szCs w:val="20"/>
        </w:rPr>
        <w:t>1. G</w:t>
      </w:r>
      <w:r w:rsidR="007A3373" w:rsidRPr="0086696A">
        <w:rPr>
          <w:rFonts w:ascii="Calibri" w:hAnsi="Calibri"/>
          <w:color w:val="002060"/>
          <w:sz w:val="20"/>
          <w:szCs w:val="20"/>
        </w:rPr>
        <w:t>arantir le bon paiement ou l'exécution en nature prévu au contrat d'origine, au cas où le débiteur principal ne tiendrait pas ses engagements ;</w:t>
      </w:r>
    </w:p>
    <w:p w:rsidR="007A3373" w:rsidRPr="0086696A" w:rsidRDefault="00D93C2C" w:rsidP="00A50217">
      <w:pPr>
        <w:pStyle w:val="revuetexte"/>
        <w:spacing w:after="60"/>
        <w:ind w:left="170" w:hanging="170"/>
        <w:jc w:val="both"/>
        <w:rPr>
          <w:rFonts w:ascii="Calibri" w:hAnsi="Calibri"/>
          <w:color w:val="002060"/>
          <w:sz w:val="20"/>
          <w:szCs w:val="20"/>
        </w:rPr>
      </w:pPr>
      <w:r>
        <w:rPr>
          <w:rFonts w:ascii="Calibri" w:hAnsi="Calibri"/>
          <w:color w:val="002060"/>
          <w:sz w:val="20"/>
          <w:szCs w:val="20"/>
        </w:rPr>
        <w:t>2. D</w:t>
      </w:r>
      <w:r w:rsidR="007A3373" w:rsidRPr="0086696A">
        <w:rPr>
          <w:rFonts w:ascii="Calibri" w:hAnsi="Calibri"/>
          <w:color w:val="002060"/>
          <w:sz w:val="20"/>
          <w:szCs w:val="20"/>
        </w:rPr>
        <w:t>onner au créancier, un recours en remboursement contre le débiteur défaillant.</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lastRenderedPageBreak/>
        <w:t>Les banques le requièrent notamment en garantie d'un prêt consenti à un particulier ou à une entreprise. Toutefois, la caution accessoire n'est tenue qu'à hauteur de son engagement, sans devoir plus que ce à quoi est tenu le débiteur principal.</w:t>
      </w:r>
    </w:p>
    <w:p w:rsidR="007A3373" w:rsidRPr="0086696A"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Encore convient-il de préciser que le législateur a imposé différentes règles pour protéger les personnes qui se porteraient caution en méconnaissant les obligations qui en découlent.</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La lettre de confort </w:t>
      </w:r>
    </w:p>
    <w:p w:rsidR="007A3373" w:rsidRPr="0086696A"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La lettre de confort s'applique à des documents informels fournis à une partie qui est généralement le dispensateur du crédit interentreprises, dans lesquels une société mère affirme son soutien aux décisions de l'une de ses filiales, dans des termes qui peuvent être interprétées comme un engagement de moyen (« tout le nécessaire », </w:t>
      </w:r>
      <w:proofErr w:type="spellStart"/>
      <w:r w:rsidRPr="0086696A">
        <w:rPr>
          <w:rFonts w:ascii="Calibri" w:hAnsi="Calibri"/>
          <w:color w:val="002060"/>
          <w:sz w:val="20"/>
          <w:szCs w:val="20"/>
        </w:rPr>
        <w:t>cass</w:t>
      </w:r>
      <w:proofErr w:type="spellEnd"/>
      <w:r w:rsidRPr="0086696A">
        <w:rPr>
          <w:rFonts w:ascii="Calibri" w:hAnsi="Calibri"/>
          <w:color w:val="002060"/>
          <w:sz w:val="20"/>
          <w:szCs w:val="20"/>
        </w:rPr>
        <w:t xml:space="preserve">. com. 18 avril 2000) ou de résultat </w:t>
      </w:r>
      <w:r w:rsidR="00013E97">
        <w:rPr>
          <w:rFonts w:ascii="Calibri" w:hAnsi="Calibri"/>
          <w:color w:val="002060"/>
          <w:sz w:val="20"/>
          <w:szCs w:val="20"/>
        </w:rPr>
        <w:t xml:space="preserve">  </w:t>
      </w:r>
      <w:r w:rsidRPr="0086696A">
        <w:rPr>
          <w:rFonts w:ascii="Calibri" w:hAnsi="Calibri"/>
          <w:color w:val="002060"/>
          <w:sz w:val="20"/>
          <w:szCs w:val="20"/>
        </w:rPr>
        <w:t xml:space="preserve">(« assurer l'intégralité des besoins financiers », </w:t>
      </w:r>
      <w:proofErr w:type="spellStart"/>
      <w:r w:rsidRPr="0086696A">
        <w:rPr>
          <w:rFonts w:ascii="Calibri" w:hAnsi="Calibri"/>
          <w:color w:val="002060"/>
          <w:sz w:val="20"/>
          <w:szCs w:val="20"/>
        </w:rPr>
        <w:t>cass</w:t>
      </w:r>
      <w:proofErr w:type="spellEnd"/>
      <w:r w:rsidRPr="0086696A">
        <w:rPr>
          <w:rFonts w:ascii="Calibri" w:hAnsi="Calibri"/>
          <w:color w:val="002060"/>
          <w:sz w:val="20"/>
          <w:szCs w:val="20"/>
        </w:rPr>
        <w:t>. com. 24 octobre 2000). Ces documents ayant été déterminants pour amener le fournisseur à conclure le marché en cause, il est légitime pour lui d'appeler la maison mère en garantie de sa filiale défaillante.</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La lettre d'intention </w:t>
      </w:r>
    </w:p>
    <w:p w:rsidR="007A3373" w:rsidRPr="0086696A"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La lettre d'intention est, quant à elle, définie comme l'engagement de faire ou de ne pas faire ayant pour objet le soutien apporté à un débiteur dans l'exécution de son obligation envers son créancier (c. civ. art. 2322 modifié par l'ordonnance 2006-346 du 24 mars 2006).</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La délégation de paiement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La délégation par laquelle un débiteur donne au créancier un autre débiteur qui s'oblige envers le créancier est réputée (c. civ. art. 1275 et 1276) :</w:t>
      </w:r>
    </w:p>
    <w:p w:rsidR="007A3373" w:rsidRPr="0086696A" w:rsidRDefault="007A3373" w:rsidP="00013E97">
      <w:pPr>
        <w:pStyle w:val="revuetexte"/>
        <w:spacing w:after="60"/>
        <w:ind w:left="113" w:hanging="113"/>
        <w:jc w:val="both"/>
        <w:rPr>
          <w:rFonts w:ascii="Calibri" w:hAnsi="Calibri"/>
          <w:color w:val="002060"/>
          <w:sz w:val="20"/>
          <w:szCs w:val="20"/>
        </w:rPr>
      </w:pPr>
      <w:r w:rsidRPr="0086696A">
        <w:rPr>
          <w:rFonts w:ascii="Calibri" w:hAnsi="Calibri"/>
          <w:color w:val="002060"/>
          <w:sz w:val="20"/>
          <w:szCs w:val="20"/>
        </w:rPr>
        <w:t>- « parfaite » et fait novation, quand le transfert de débiteur est total et que le nouveau débiteur (le délégué) s'engage, à la place du débiteur initial (le délégant), à régler en ses lieu et place le créancier (le délégataire), pour autant que ce dernier accepte ce transfert et décharge le délégué de ses obligations. En revanche, le délégué ne peut plus opposer au délégataire les exceptions qu'aurait pu opposer le délégant ;</w:t>
      </w:r>
    </w:p>
    <w:p w:rsidR="007A3373" w:rsidRDefault="007A3373" w:rsidP="00013E97">
      <w:pPr>
        <w:pStyle w:val="revuetexte"/>
        <w:spacing w:after="120"/>
        <w:ind w:left="113" w:hanging="113"/>
        <w:jc w:val="both"/>
        <w:rPr>
          <w:rFonts w:ascii="Calibri" w:hAnsi="Calibri"/>
          <w:color w:val="002060"/>
          <w:sz w:val="20"/>
          <w:szCs w:val="20"/>
        </w:rPr>
      </w:pPr>
      <w:r w:rsidRPr="0086696A">
        <w:rPr>
          <w:rFonts w:ascii="Calibri" w:hAnsi="Calibri"/>
          <w:color w:val="002060"/>
          <w:sz w:val="20"/>
          <w:szCs w:val="20"/>
        </w:rPr>
        <w:t>- est réputée « imparfaite » quand il n'y a pas substitution de débiteur mais cumul. Le délégataire bénéficie alors d'un double recours, à la fois contre le délégant et le délégué.</w:t>
      </w:r>
    </w:p>
    <w:p w:rsidR="007A3373" w:rsidRPr="00A50217"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A50217">
        <w:rPr>
          <w:rStyle w:val="revuesousintertitre1"/>
          <w:rFonts w:ascii="Calibri" w:hAnsi="Calibri"/>
          <w:color w:val="002060"/>
          <w:sz w:val="20"/>
          <w:szCs w:val="20"/>
        </w:rPr>
        <w:t xml:space="preserve">Le gage des stocks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Ce gage garantit tout crédit consenti par un établissement de crédit à une personne morale de droit privé ou à un commerçant, personne physique. Il est constitué par acte sous seing privé, sans pacte commissoire possible. Il doit être inscrit au greffe du tribunal dans les 15 jours de l'acte constitutif.</w:t>
      </w:r>
    </w:p>
    <w:p w:rsidR="007A3373" w:rsidRPr="00D93C2C" w:rsidRDefault="007A3373" w:rsidP="00A50217">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Ce gage passe de plein droit des stocks aliénés à ceux qui leur sont substitués ; le débiteur demeure responsable de leur bonne conservation, il doit les assurer. Toute baisse de 20 % de l'état des stocks en cause autorise le créancier à mettre en demeure le débiteur soit de rétablir la garantie, soit de lui rembourser la partie manquante. « Les parties peuvent convenir que la part des stocks engagés diminue à proportion du désintéressement du créancier. En cas de non-paiement, le créancier peut demander soit l'autorisation de la vente judiciaire, soit l'attribution judiciaire </w:t>
      </w:r>
      <w:r w:rsidRPr="00D93C2C">
        <w:rPr>
          <w:rFonts w:ascii="Calibri" w:hAnsi="Calibri"/>
          <w:color w:val="002060"/>
          <w:sz w:val="20"/>
          <w:szCs w:val="20"/>
        </w:rPr>
        <w:t xml:space="preserve">(c. com. </w:t>
      </w:r>
      <w:hyperlink r:id="rId12" w:tgtFrame="_blank" w:history="1">
        <w:r w:rsidRPr="00D93C2C">
          <w:rPr>
            <w:rStyle w:val="Lienhypertexte"/>
            <w:rFonts w:ascii="Calibri" w:hAnsi="Calibri"/>
            <w:color w:val="002060"/>
            <w:sz w:val="20"/>
            <w:szCs w:val="20"/>
            <w:u w:val="none"/>
          </w:rPr>
          <w:t>art. L. 527-1</w:t>
        </w:r>
      </w:hyperlink>
      <w:r w:rsidRPr="00D93C2C">
        <w:rPr>
          <w:rFonts w:ascii="Calibri" w:hAnsi="Calibri"/>
          <w:color w:val="002060"/>
          <w:sz w:val="20"/>
          <w:szCs w:val="20"/>
        </w:rPr>
        <w:t xml:space="preserve"> et </w:t>
      </w:r>
      <w:proofErr w:type="spellStart"/>
      <w:r w:rsidRPr="00D93C2C">
        <w:rPr>
          <w:rFonts w:ascii="Calibri" w:hAnsi="Calibri"/>
          <w:color w:val="002060"/>
          <w:sz w:val="20"/>
          <w:szCs w:val="20"/>
        </w:rPr>
        <w:t>suiv</w:t>
      </w:r>
      <w:proofErr w:type="spellEnd"/>
      <w:r w:rsidRPr="00D93C2C">
        <w:rPr>
          <w:rFonts w:ascii="Calibri" w:hAnsi="Calibri"/>
          <w:color w:val="002060"/>
          <w:sz w:val="20"/>
          <w:szCs w:val="20"/>
        </w:rPr>
        <w:t>.).</w:t>
      </w:r>
    </w:p>
    <w:p w:rsidR="007A3373" w:rsidRPr="0086696A" w:rsidRDefault="007A3373" w:rsidP="00A50217">
      <w:pPr>
        <w:pStyle w:val="revuesousintertitre"/>
        <w:numPr>
          <w:ilvl w:val="0"/>
          <w:numId w:val="2"/>
        </w:numPr>
        <w:spacing w:before="0" w:after="60"/>
        <w:ind w:left="170" w:hanging="170"/>
        <w:jc w:val="both"/>
        <w:rPr>
          <w:rFonts w:ascii="Calibri" w:hAnsi="Calibri"/>
          <w:color w:val="002060"/>
          <w:sz w:val="20"/>
          <w:szCs w:val="20"/>
        </w:rPr>
      </w:pPr>
      <w:r w:rsidRPr="0086696A">
        <w:rPr>
          <w:rStyle w:val="revuesousintertitre1"/>
          <w:rFonts w:ascii="Calibri" w:hAnsi="Calibri"/>
          <w:color w:val="002060"/>
          <w:sz w:val="20"/>
          <w:szCs w:val="20"/>
        </w:rPr>
        <w:t xml:space="preserve">Le nantissement </w:t>
      </w:r>
    </w:p>
    <w:p w:rsidR="007A3373" w:rsidRPr="0086696A" w:rsidRDefault="007A3373" w:rsidP="00A50217">
      <w:pPr>
        <w:pStyle w:val="revuetexte"/>
        <w:spacing w:after="60"/>
        <w:ind w:left="0"/>
        <w:jc w:val="both"/>
        <w:rPr>
          <w:rFonts w:ascii="Calibri" w:hAnsi="Calibri"/>
          <w:color w:val="002060"/>
          <w:sz w:val="20"/>
          <w:szCs w:val="20"/>
        </w:rPr>
      </w:pPr>
      <w:r w:rsidRPr="0086696A">
        <w:rPr>
          <w:rFonts w:ascii="Calibri" w:hAnsi="Calibri"/>
          <w:color w:val="002060"/>
          <w:sz w:val="20"/>
          <w:szCs w:val="20"/>
        </w:rPr>
        <w:t>Le gage ayant été redéfini par l'ordonnance du 23 mars 2006, le nantissement devait lui aussi recevoir une nouvelle définition. Aux critères surannés basés sur le maintien en possession, ou sur le transfert de détention, il a été préféré les notions de biens « corporels » pour délimiter le gage, et de biens « incorporels » pour qualifier le nantissement, lequel est obligatoirement conclu par écrit (par exemple, une police d'assurance peut être donnée en nantissement).</w:t>
      </w:r>
    </w:p>
    <w:p w:rsidR="007A3373" w:rsidRPr="0086696A" w:rsidRDefault="007A3373" w:rsidP="00013E97">
      <w:pPr>
        <w:pStyle w:val="revuetexte"/>
        <w:spacing w:after="100" w:afterAutospacing="1"/>
        <w:ind w:left="0"/>
        <w:jc w:val="both"/>
        <w:rPr>
          <w:rFonts w:ascii="Calibri" w:hAnsi="Calibri"/>
          <w:color w:val="002060"/>
          <w:sz w:val="20"/>
          <w:szCs w:val="20"/>
        </w:rPr>
      </w:pPr>
      <w:r w:rsidRPr="0086696A">
        <w:rPr>
          <w:rFonts w:ascii="Calibri" w:hAnsi="Calibri"/>
          <w:color w:val="002060"/>
          <w:sz w:val="20"/>
          <w:szCs w:val="20"/>
        </w:rPr>
        <w:t>Pour des raisons évidentes de commodité ou de nécessité, certains nantissements sont réalisés sans dépossession mais, dans ce cas, au moyen d'une inscription sur un registre spécifique : c'est notamment le cas du nantissement sur fonds de commerce (avec mention de sa composition car, à défaut, il n'est réputé inscrit que sur l'enseigne, le nom commercial, le droit au bail, la clientèle et l'achalandage) ou du gage sur véhicule.</w:t>
      </w:r>
    </w:p>
    <w:p w:rsidR="007A3373" w:rsidRPr="00DB7C7E" w:rsidRDefault="00013E97" w:rsidP="00013E97">
      <w:pPr>
        <w:pStyle w:val="revueintertitre"/>
        <w:spacing w:before="0" w:after="240"/>
        <w:ind w:left="0"/>
        <w:jc w:val="both"/>
        <w:rPr>
          <w:rFonts w:ascii="Calibri" w:hAnsi="Calibri"/>
          <w:color w:val="002060"/>
          <w:sz w:val="24"/>
          <w:szCs w:val="26"/>
        </w:rPr>
      </w:pPr>
      <w:r w:rsidRPr="00DB7C7E">
        <w:rPr>
          <w:rFonts w:ascii="Calibri" w:hAnsi="Calibri"/>
          <w:caps w:val="0"/>
          <w:color w:val="002060"/>
          <w:sz w:val="24"/>
          <w:szCs w:val="26"/>
        </w:rPr>
        <w:t xml:space="preserve">Les moyens de paiements </w:t>
      </w:r>
    </w:p>
    <w:p w:rsidR="00013E97" w:rsidRDefault="007A3373" w:rsidP="007D66A9">
      <w:pPr>
        <w:pStyle w:val="revuetexte"/>
        <w:spacing w:after="0"/>
        <w:ind w:left="0"/>
        <w:jc w:val="both"/>
        <w:rPr>
          <w:rFonts w:ascii="Calibri" w:hAnsi="Calibri"/>
          <w:color w:val="002060"/>
          <w:sz w:val="20"/>
          <w:szCs w:val="20"/>
        </w:rPr>
      </w:pPr>
      <w:r w:rsidRPr="0086696A">
        <w:rPr>
          <w:rFonts w:ascii="Calibri" w:hAnsi="Calibri"/>
          <w:color w:val="002060"/>
          <w:sz w:val="20"/>
          <w:szCs w:val="20"/>
        </w:rPr>
        <w:t>Les moyens de paiement qu'une entreprise utilise ou souhaite soumettre à ses clients ont chacun leurs avantages et leurs inconvénients. L'idée étant, autant que faire se peut, de conserver la maîtrise de l'échéance. La rapidité de traitement est aussi un élément à prendre en compte, tout comme la sécurité.</w:t>
      </w: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FB1E5B" w:rsidRDefault="00FB1E5B" w:rsidP="007D66A9">
      <w:pPr>
        <w:pStyle w:val="revuetexte"/>
        <w:spacing w:after="0"/>
        <w:ind w:left="0"/>
        <w:jc w:val="both"/>
        <w:rPr>
          <w:rFonts w:ascii="Calibri" w:hAnsi="Calibri"/>
          <w:color w:val="002060"/>
          <w:sz w:val="20"/>
          <w:szCs w:val="20"/>
        </w:rPr>
      </w:pPr>
    </w:p>
    <w:p w:rsidR="00013E97" w:rsidRPr="0086696A" w:rsidRDefault="00013E97" w:rsidP="007D66A9">
      <w:pPr>
        <w:pStyle w:val="revuetexte"/>
        <w:spacing w:after="0"/>
        <w:ind w:left="0"/>
        <w:jc w:val="both"/>
        <w:rPr>
          <w:rFonts w:ascii="Calibri" w:hAnsi="Calibri"/>
          <w:color w:val="002060"/>
          <w:sz w:val="20"/>
          <w:szCs w:val="20"/>
        </w:rPr>
      </w:pP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1666"/>
        <w:gridCol w:w="657"/>
        <w:gridCol w:w="1002"/>
        <w:gridCol w:w="414"/>
        <w:gridCol w:w="772"/>
        <w:gridCol w:w="792"/>
        <w:gridCol w:w="510"/>
        <w:gridCol w:w="1061"/>
        <w:gridCol w:w="1258"/>
        <w:gridCol w:w="1381"/>
        <w:gridCol w:w="675"/>
      </w:tblGrid>
      <w:tr w:rsidR="007A3373" w:rsidRPr="00013E97" w:rsidTr="00013E97">
        <w:trPr>
          <w:tblCellSpacing w:w="0" w:type="dxa"/>
          <w:jc w:val="center"/>
        </w:trPr>
        <w:tc>
          <w:tcPr>
            <w:tcW w:w="0" w:type="auto"/>
            <w:gridSpan w:val="11"/>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20"/>
                <w:szCs w:val="16"/>
              </w:rPr>
            </w:pPr>
            <w:r w:rsidRPr="00013E97">
              <w:rPr>
                <w:rFonts w:ascii="Calibri" w:hAnsi="Calibri"/>
                <w:b/>
                <w:bCs/>
                <w:color w:val="002060"/>
                <w:sz w:val="20"/>
                <w:szCs w:val="16"/>
              </w:rPr>
              <w:t>Comparaison des moyens de paiement (du point de vue du créancier)</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both"/>
              <w:rPr>
                <w:rFonts w:ascii="Calibri" w:hAnsi="Calibri"/>
                <w:b/>
                <w:bCs/>
                <w:color w:val="002060"/>
                <w:sz w:val="18"/>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both"/>
              <w:rPr>
                <w:rFonts w:ascii="Calibri" w:hAnsi="Calibri"/>
                <w:b/>
                <w:bCs/>
                <w:color w:val="002060"/>
                <w:sz w:val="18"/>
                <w:szCs w:val="16"/>
              </w:rPr>
            </w:pPr>
            <w:r w:rsidRPr="00013E97">
              <w:rPr>
                <w:rFonts w:ascii="Calibri" w:hAnsi="Calibri"/>
                <w:b/>
                <w:bCs/>
                <w:color w:val="002060"/>
                <w:sz w:val="18"/>
                <w:szCs w:val="16"/>
              </w:rPr>
              <w:t>Chèque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Traite acceptée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both"/>
              <w:rPr>
                <w:rFonts w:ascii="Calibri" w:hAnsi="Calibri"/>
                <w:b/>
                <w:bCs/>
                <w:color w:val="002060"/>
                <w:sz w:val="18"/>
                <w:szCs w:val="16"/>
              </w:rPr>
            </w:pPr>
            <w:r w:rsidRPr="00013E97">
              <w:rPr>
                <w:rFonts w:ascii="Calibri" w:hAnsi="Calibri"/>
                <w:b/>
                <w:bCs/>
                <w:color w:val="002060"/>
                <w:sz w:val="18"/>
                <w:szCs w:val="16"/>
              </w:rPr>
              <w:t>BOR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LCR directe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both"/>
              <w:rPr>
                <w:rFonts w:ascii="Calibri" w:hAnsi="Calibri"/>
                <w:b/>
                <w:bCs/>
                <w:color w:val="002060"/>
                <w:sz w:val="18"/>
                <w:szCs w:val="16"/>
              </w:rPr>
            </w:pPr>
            <w:r w:rsidRPr="00013E97">
              <w:rPr>
                <w:rFonts w:ascii="Calibri" w:hAnsi="Calibri"/>
                <w:b/>
                <w:bCs/>
                <w:color w:val="002060"/>
                <w:sz w:val="18"/>
                <w:szCs w:val="16"/>
              </w:rPr>
              <w:t>Virement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V-Com</w:t>
            </w:r>
          </w:p>
        </w:tc>
        <w:tc>
          <w:tcPr>
            <w:tcW w:w="106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Prélèv</w:t>
            </w:r>
            <w:r w:rsidR="00F21C25" w:rsidRPr="00013E97">
              <w:rPr>
                <w:rFonts w:ascii="Calibri" w:hAnsi="Calibri"/>
                <w:b/>
                <w:bCs/>
                <w:color w:val="002060"/>
                <w:sz w:val="18"/>
                <w:szCs w:val="16"/>
              </w:rPr>
              <w:t>emen</w:t>
            </w:r>
            <w:r w:rsidRPr="00013E97">
              <w:rPr>
                <w:rFonts w:ascii="Calibri" w:hAnsi="Calibri"/>
                <w:b/>
                <w:bCs/>
                <w:color w:val="002060"/>
                <w:sz w:val="18"/>
                <w:szCs w:val="16"/>
              </w:rPr>
              <w:t>t</w:t>
            </w:r>
            <w:r w:rsidRPr="00013E97">
              <w:rPr>
                <w:rFonts w:ascii="Calibri" w:hAnsi="Calibri"/>
                <w:b/>
                <w:bCs/>
                <w:color w:val="002060"/>
                <w:sz w:val="18"/>
                <w:szCs w:val="16"/>
              </w:rPr>
              <w:br/>
              <w:t>automatique</w:t>
            </w:r>
          </w:p>
        </w:tc>
        <w:tc>
          <w:tcPr>
            <w:tcW w:w="125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8125EF"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 xml:space="preserve">Carte </w:t>
            </w:r>
            <w:r w:rsidR="007A3373" w:rsidRPr="00013E97">
              <w:rPr>
                <w:rFonts w:ascii="Calibri" w:hAnsi="Calibri"/>
                <w:b/>
                <w:bCs/>
                <w:color w:val="002060"/>
                <w:sz w:val="18"/>
                <w:szCs w:val="16"/>
              </w:rPr>
              <w:t>bancaire (n° seul)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Carte bancaire (n° + code)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013E97" w:rsidRDefault="007A3373" w:rsidP="00013E97">
            <w:pPr>
              <w:spacing w:before="60" w:after="60"/>
              <w:jc w:val="center"/>
              <w:rPr>
                <w:rFonts w:ascii="Calibri" w:hAnsi="Calibri"/>
                <w:b/>
                <w:bCs/>
                <w:color w:val="002060"/>
                <w:sz w:val="18"/>
                <w:szCs w:val="16"/>
              </w:rPr>
            </w:pPr>
            <w:r w:rsidRPr="00013E97">
              <w:rPr>
                <w:rFonts w:ascii="Calibri" w:hAnsi="Calibri"/>
                <w:b/>
                <w:bCs/>
                <w:color w:val="002060"/>
                <w:sz w:val="18"/>
                <w:szCs w:val="16"/>
              </w:rPr>
              <w:t>Espèces</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rPr>
                <w:rFonts w:ascii="Calibri" w:hAnsi="Calibri"/>
                <w:color w:val="002060"/>
                <w:sz w:val="20"/>
                <w:szCs w:val="20"/>
              </w:rPr>
            </w:pPr>
            <w:r w:rsidRPr="00013E97">
              <w:rPr>
                <w:rFonts w:ascii="Calibri" w:hAnsi="Calibri"/>
                <w:color w:val="002060"/>
                <w:sz w:val="20"/>
                <w:szCs w:val="20"/>
              </w:rPr>
              <w:t>Clientèle (1)</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w:t>
            </w:r>
          </w:p>
        </w:tc>
        <w:tc>
          <w:tcPr>
            <w:tcW w:w="1061" w:type="dxa"/>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c>
          <w:tcPr>
            <w:tcW w:w="1258" w:type="dxa"/>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jc w:val="center"/>
              <w:rPr>
                <w:rFonts w:ascii="Calibri" w:hAnsi="Calibri"/>
                <w:color w:val="002060"/>
                <w:sz w:val="20"/>
                <w:szCs w:val="20"/>
              </w:rPr>
            </w:pPr>
            <w:r w:rsidRPr="00013E97">
              <w:rPr>
                <w:rFonts w:ascii="Calibri" w:hAnsi="Calibri"/>
                <w:color w:val="002060"/>
                <w:sz w:val="20"/>
                <w:szCs w:val="20"/>
              </w:rPr>
              <w:t>E/P</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rPr>
                <w:rFonts w:ascii="Calibri" w:hAnsi="Calibri"/>
                <w:color w:val="002060"/>
                <w:sz w:val="20"/>
                <w:szCs w:val="20"/>
              </w:rPr>
            </w:pPr>
            <w:r w:rsidRPr="00013E97">
              <w:rPr>
                <w:rFonts w:ascii="Calibri" w:hAnsi="Calibri"/>
                <w:color w:val="002060"/>
                <w:sz w:val="20"/>
                <w:szCs w:val="20"/>
              </w:rPr>
              <w:t>Sécurisation du risque</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 (2)</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 (3)</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rPr>
                <w:rFonts w:ascii="Calibri" w:hAnsi="Calibri"/>
                <w:color w:val="002060"/>
                <w:sz w:val="20"/>
                <w:szCs w:val="20"/>
              </w:rPr>
            </w:pPr>
            <w:r w:rsidRPr="00013E97">
              <w:rPr>
                <w:rFonts w:ascii="Calibri" w:hAnsi="Calibri"/>
                <w:color w:val="002060"/>
                <w:sz w:val="20"/>
                <w:szCs w:val="20"/>
              </w:rPr>
              <w:t>Dépendance courrier</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rPr>
                <w:rFonts w:ascii="Calibri" w:hAnsi="Calibri"/>
                <w:color w:val="002060"/>
                <w:sz w:val="20"/>
                <w:szCs w:val="20"/>
              </w:rPr>
            </w:pPr>
            <w:r w:rsidRPr="00013E97">
              <w:rPr>
                <w:rFonts w:ascii="Calibri" w:hAnsi="Calibri"/>
                <w:color w:val="002060"/>
                <w:sz w:val="20"/>
                <w:szCs w:val="20"/>
              </w:rPr>
              <w:t xml:space="preserve">Maîtrise de l'échéance </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D93C2C">
            <w:pPr>
              <w:spacing w:before="60" w:after="60"/>
              <w:rPr>
                <w:rFonts w:ascii="Calibri" w:hAnsi="Calibri"/>
                <w:color w:val="002060"/>
                <w:sz w:val="20"/>
                <w:szCs w:val="20"/>
              </w:rPr>
            </w:pPr>
            <w:r w:rsidRPr="00013E97">
              <w:rPr>
                <w:rFonts w:ascii="Calibri" w:hAnsi="Calibri"/>
                <w:color w:val="002060"/>
                <w:sz w:val="20"/>
                <w:szCs w:val="20"/>
              </w:rPr>
              <w:t>Facilité de lettrage</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 - (4)</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rPr>
                <w:rFonts w:ascii="Calibri" w:hAnsi="Calibri"/>
                <w:color w:val="002060"/>
                <w:sz w:val="20"/>
                <w:szCs w:val="20"/>
              </w:rPr>
            </w:pPr>
            <w:r w:rsidRPr="00013E97">
              <w:rPr>
                <w:rFonts w:ascii="Calibri" w:hAnsi="Calibri"/>
                <w:color w:val="002060"/>
                <w:sz w:val="20"/>
                <w:szCs w:val="20"/>
              </w:rPr>
              <w:t>Possibilité de mobilisation</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rPr>
                <w:rFonts w:ascii="Calibri" w:hAnsi="Calibri"/>
                <w:color w:val="002060"/>
                <w:sz w:val="20"/>
                <w:szCs w:val="20"/>
              </w:rPr>
            </w:pPr>
            <w:r w:rsidRPr="00013E97">
              <w:rPr>
                <w:rFonts w:ascii="Calibri" w:hAnsi="Calibri"/>
                <w:color w:val="002060"/>
                <w:sz w:val="20"/>
                <w:szCs w:val="20"/>
              </w:rPr>
              <w:t>Coûts bancaires (5)</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rPr>
                <w:rFonts w:ascii="Calibri" w:hAnsi="Calibri"/>
                <w:color w:val="002060"/>
                <w:sz w:val="20"/>
                <w:szCs w:val="20"/>
              </w:rPr>
            </w:pPr>
            <w:r w:rsidRPr="00013E97">
              <w:rPr>
                <w:rFonts w:ascii="Calibri" w:hAnsi="Calibri"/>
                <w:color w:val="002060"/>
                <w:sz w:val="20"/>
                <w:szCs w:val="20"/>
              </w:rPr>
              <w:t>Rapidité de l'impayé</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r>
      <w:tr w:rsidR="007A3373" w:rsidRPr="00013E97" w:rsidTr="00FB1E5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rPr>
                <w:rFonts w:ascii="Calibri" w:hAnsi="Calibri"/>
                <w:color w:val="002060"/>
                <w:sz w:val="20"/>
                <w:szCs w:val="20"/>
              </w:rPr>
            </w:pPr>
            <w:r w:rsidRPr="00013E97">
              <w:rPr>
                <w:rFonts w:ascii="Calibri" w:hAnsi="Calibri"/>
                <w:color w:val="002060"/>
                <w:sz w:val="20"/>
                <w:szCs w:val="20"/>
              </w:rPr>
              <w:t>Recours contentieux</w:t>
            </w:r>
          </w:p>
        </w:tc>
        <w:tc>
          <w:tcPr>
            <w:tcW w:w="0" w:type="auto"/>
            <w:tcBorders>
              <w:top w:val="outset" w:sz="6" w:space="0" w:color="auto"/>
              <w:left w:val="outset" w:sz="6" w:space="0" w:color="auto"/>
              <w:bottom w:val="outset" w:sz="6" w:space="0" w:color="auto"/>
              <w:right w:val="outset" w:sz="6" w:space="0" w:color="auto"/>
            </w:tcBorders>
          </w:tcPr>
          <w:p w:rsidR="007A3373" w:rsidRPr="00013E97" w:rsidRDefault="007A3373" w:rsidP="008125EF">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061"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1258" w:type="dxa"/>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c>
          <w:tcPr>
            <w:tcW w:w="0" w:type="auto"/>
            <w:tcBorders>
              <w:top w:val="outset" w:sz="6" w:space="0" w:color="auto"/>
              <w:left w:val="outset" w:sz="6" w:space="0" w:color="auto"/>
              <w:bottom w:val="outset" w:sz="6" w:space="0" w:color="auto"/>
              <w:right w:val="outset" w:sz="6" w:space="0" w:color="auto"/>
            </w:tcBorders>
            <w:vAlign w:val="center"/>
          </w:tcPr>
          <w:p w:rsidR="007A3373" w:rsidRPr="00013E97" w:rsidRDefault="007A3373" w:rsidP="00D93C2C">
            <w:pPr>
              <w:jc w:val="center"/>
              <w:rPr>
                <w:rFonts w:ascii="Calibri" w:hAnsi="Calibri"/>
                <w:color w:val="002060"/>
                <w:sz w:val="20"/>
                <w:szCs w:val="20"/>
              </w:rPr>
            </w:pPr>
            <w:r w:rsidRPr="00013E97">
              <w:rPr>
                <w:rFonts w:ascii="Calibri" w:hAnsi="Calibri"/>
                <w:color w:val="002060"/>
                <w:sz w:val="20"/>
                <w:szCs w:val="20"/>
              </w:rPr>
              <w:t>NS</w:t>
            </w:r>
          </w:p>
        </w:tc>
      </w:tr>
      <w:tr w:rsidR="007A3373" w:rsidRPr="00013E97">
        <w:trPr>
          <w:tblCellSpacing w:w="0" w:type="dxa"/>
          <w:jc w:val="center"/>
        </w:trPr>
        <w:tc>
          <w:tcPr>
            <w:tcW w:w="0" w:type="auto"/>
            <w:gridSpan w:val="11"/>
            <w:tcBorders>
              <w:top w:val="outset" w:sz="6" w:space="0" w:color="auto"/>
              <w:left w:val="outset" w:sz="6" w:space="0" w:color="auto"/>
              <w:bottom w:val="outset" w:sz="6" w:space="0" w:color="auto"/>
              <w:right w:val="outset" w:sz="6" w:space="0" w:color="auto"/>
            </w:tcBorders>
          </w:tcPr>
          <w:p w:rsidR="007A3373" w:rsidRPr="00013E97" w:rsidRDefault="007A3373" w:rsidP="00F21C25">
            <w:pPr>
              <w:rPr>
                <w:rFonts w:ascii="Calibri" w:hAnsi="Calibri"/>
                <w:color w:val="002060"/>
                <w:sz w:val="20"/>
                <w:szCs w:val="16"/>
              </w:rPr>
            </w:pPr>
            <w:r w:rsidRPr="00013E97">
              <w:rPr>
                <w:rFonts w:ascii="Calibri" w:hAnsi="Calibri"/>
                <w:color w:val="002060"/>
                <w:sz w:val="20"/>
                <w:szCs w:val="16"/>
              </w:rPr>
              <w:t>(1) E = Entreprises ou P = Particuliers.</w:t>
            </w:r>
            <w:r w:rsidRPr="00013E97">
              <w:rPr>
                <w:rFonts w:ascii="Calibri" w:hAnsi="Calibri"/>
                <w:color w:val="002060"/>
                <w:sz w:val="20"/>
                <w:szCs w:val="16"/>
              </w:rPr>
              <w:br/>
              <w:t>(2) Si chèque de banque.</w:t>
            </w:r>
            <w:r w:rsidRPr="00013E97">
              <w:rPr>
                <w:rFonts w:ascii="Calibri" w:hAnsi="Calibri"/>
                <w:color w:val="002060"/>
                <w:sz w:val="20"/>
                <w:szCs w:val="16"/>
              </w:rPr>
              <w:br/>
              <w:t>(3) Si détecteur de faux billets.</w:t>
            </w:r>
            <w:r w:rsidRPr="00013E97">
              <w:rPr>
                <w:rFonts w:ascii="Calibri" w:hAnsi="Calibri"/>
                <w:color w:val="002060"/>
                <w:sz w:val="20"/>
                <w:szCs w:val="16"/>
              </w:rPr>
              <w:br/>
              <w:t>(4) Sauf réception d'un avis de virement détaillé et libellé complémentaire sur relevé bancaire.</w:t>
            </w:r>
            <w:r w:rsidRPr="00013E97">
              <w:rPr>
                <w:rFonts w:ascii="Calibri" w:hAnsi="Calibri"/>
                <w:color w:val="002060"/>
                <w:sz w:val="20"/>
                <w:szCs w:val="16"/>
              </w:rPr>
              <w:br/>
              <w:t>(5) Charge administrative et commissions.</w:t>
            </w:r>
          </w:p>
        </w:tc>
      </w:tr>
    </w:tbl>
    <w:p w:rsidR="007A3373" w:rsidRPr="0086696A" w:rsidRDefault="007A3373" w:rsidP="00F21C25">
      <w:pPr>
        <w:jc w:val="both"/>
        <w:rPr>
          <w:rFonts w:ascii="Calibri" w:hAnsi="Calibri"/>
          <w:color w:val="002060"/>
          <w:sz w:val="15"/>
          <w:szCs w:val="15"/>
        </w:rPr>
      </w:pPr>
    </w:p>
    <w:p w:rsidR="007A3373" w:rsidRPr="0086696A" w:rsidRDefault="007A3373" w:rsidP="00013E97">
      <w:pPr>
        <w:pStyle w:val="revuetexte"/>
        <w:spacing w:after="100" w:afterAutospacing="1"/>
        <w:ind w:left="0"/>
        <w:jc w:val="both"/>
        <w:rPr>
          <w:rFonts w:ascii="Calibri" w:hAnsi="Calibri"/>
          <w:color w:val="002060"/>
          <w:sz w:val="20"/>
          <w:szCs w:val="20"/>
        </w:rPr>
      </w:pPr>
      <w:r w:rsidRPr="0086696A">
        <w:rPr>
          <w:rFonts w:ascii="Calibri" w:hAnsi="Calibri"/>
          <w:color w:val="002060"/>
          <w:sz w:val="20"/>
          <w:szCs w:val="20"/>
        </w:rPr>
        <w:t>Dans ce domaine, la sensibilisation et la formation des équipes commerciales à la promotion d'un moyen de paiement plutôt qu'un autre peut s'avérer très bénéfique pour la trésorerie de l'entreprise et pour la sécurisation des risques de non-paiement.</w:t>
      </w:r>
    </w:p>
    <w:p w:rsidR="007A3373" w:rsidRPr="00DB7C7E" w:rsidRDefault="00013E97" w:rsidP="00BF0B29">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Les solutions d'assurance du marché </w:t>
      </w:r>
    </w:p>
    <w:p w:rsidR="007A3373" w:rsidRPr="00013E97" w:rsidRDefault="007A3373" w:rsidP="007D66A9">
      <w:pPr>
        <w:pStyle w:val="revuesousintertitre"/>
        <w:spacing w:before="0" w:after="60"/>
        <w:ind w:left="0"/>
        <w:jc w:val="both"/>
        <w:rPr>
          <w:rFonts w:ascii="Calibri" w:hAnsi="Calibri"/>
          <w:color w:val="002060"/>
          <w:sz w:val="21"/>
          <w:szCs w:val="21"/>
        </w:rPr>
      </w:pPr>
      <w:r w:rsidRPr="00013E97">
        <w:rPr>
          <w:rStyle w:val="revuesousintertitre1"/>
          <w:rFonts w:ascii="Calibri" w:hAnsi="Calibri"/>
          <w:color w:val="002060"/>
          <w:sz w:val="21"/>
          <w:szCs w:val="21"/>
        </w:rPr>
        <w:t xml:space="preserve">L'assurance-crédit </w:t>
      </w:r>
    </w:p>
    <w:p w:rsidR="007A3373" w:rsidRPr="0086696A" w:rsidRDefault="007A3373" w:rsidP="00013E97">
      <w:pPr>
        <w:pStyle w:val="revuetexte"/>
        <w:numPr>
          <w:ilvl w:val="0"/>
          <w:numId w:val="2"/>
        </w:numPr>
        <w:spacing w:after="0"/>
        <w:ind w:left="170" w:hanging="170"/>
        <w:jc w:val="both"/>
        <w:rPr>
          <w:rFonts w:ascii="Calibri" w:hAnsi="Calibri"/>
          <w:color w:val="002060"/>
          <w:sz w:val="20"/>
          <w:szCs w:val="20"/>
        </w:rPr>
      </w:pPr>
      <w:r w:rsidRPr="0086696A">
        <w:rPr>
          <w:rStyle w:val="lev"/>
          <w:rFonts w:ascii="Calibri" w:hAnsi="Calibri"/>
          <w:color w:val="002060"/>
          <w:sz w:val="20"/>
          <w:szCs w:val="20"/>
        </w:rPr>
        <w:t xml:space="preserve">L'assurance-crédit « classique » </w:t>
      </w:r>
      <w:r w:rsidRPr="0086696A">
        <w:rPr>
          <w:rFonts w:ascii="Calibri" w:hAnsi="Calibri"/>
          <w:color w:val="002060"/>
          <w:sz w:val="20"/>
          <w:szCs w:val="20"/>
        </w:rPr>
        <w:t>permet à une entreprise d'être indemnisée de la perte qu'elle subit en cas d'insolvabilité d'un client préalablement identifié. L'assuré conserve une part de risque, puisqu'il ne sera jamais indemnisé à 100 %.</w:t>
      </w:r>
    </w:p>
    <w:p w:rsidR="007A3373" w:rsidRPr="0086696A" w:rsidRDefault="007A3373" w:rsidP="00013E97">
      <w:pPr>
        <w:pStyle w:val="revuetexte"/>
        <w:spacing w:after="60"/>
        <w:ind w:left="170"/>
        <w:jc w:val="both"/>
        <w:rPr>
          <w:rFonts w:ascii="Calibri" w:hAnsi="Calibri"/>
          <w:color w:val="002060"/>
          <w:sz w:val="20"/>
          <w:szCs w:val="20"/>
        </w:rPr>
      </w:pPr>
      <w:r w:rsidRPr="0086696A">
        <w:rPr>
          <w:rFonts w:ascii="Calibri" w:hAnsi="Calibri"/>
          <w:color w:val="002060"/>
          <w:sz w:val="20"/>
          <w:szCs w:val="20"/>
        </w:rPr>
        <w:t>L'assureur se rémunère par une prime calculée par l'application d'un pourcentage calculé sur le chiffre d'affaires assuré et déclaré par le client (l'assuré), ainsi que par la facturation de frais accessoires. La prime est tarifée en fonction du secteur d'activité, du pays, du risque de change et de l'historique de sinistralité.</w:t>
      </w:r>
    </w:p>
    <w:p w:rsidR="007A3373" w:rsidRPr="0086696A" w:rsidRDefault="007A3373" w:rsidP="00013E97">
      <w:pPr>
        <w:pStyle w:val="revuetexte"/>
        <w:numPr>
          <w:ilvl w:val="0"/>
          <w:numId w:val="2"/>
        </w:numPr>
        <w:spacing w:after="0"/>
        <w:ind w:left="170" w:hanging="170"/>
        <w:jc w:val="both"/>
        <w:rPr>
          <w:rFonts w:ascii="Calibri" w:hAnsi="Calibri"/>
          <w:color w:val="002060"/>
          <w:sz w:val="20"/>
          <w:szCs w:val="20"/>
        </w:rPr>
      </w:pPr>
      <w:r w:rsidRPr="0086696A">
        <w:rPr>
          <w:rStyle w:val="lev"/>
          <w:rFonts w:ascii="Calibri" w:hAnsi="Calibri"/>
          <w:color w:val="002060"/>
          <w:sz w:val="20"/>
          <w:szCs w:val="20"/>
        </w:rPr>
        <w:t>L'assuranc</w:t>
      </w:r>
      <w:r w:rsidR="00013E97">
        <w:rPr>
          <w:rStyle w:val="lev"/>
          <w:rFonts w:ascii="Calibri" w:hAnsi="Calibri"/>
          <w:color w:val="002060"/>
          <w:sz w:val="20"/>
          <w:szCs w:val="20"/>
        </w:rPr>
        <w:t>e-crédit catastrophe (</w:t>
      </w:r>
      <w:proofErr w:type="spellStart"/>
      <w:r w:rsidR="00013E97">
        <w:rPr>
          <w:rStyle w:val="lev"/>
          <w:rFonts w:ascii="Calibri" w:hAnsi="Calibri"/>
          <w:color w:val="002060"/>
          <w:sz w:val="20"/>
          <w:szCs w:val="20"/>
        </w:rPr>
        <w:t>insurance</w:t>
      </w:r>
      <w:proofErr w:type="spellEnd"/>
      <w:r w:rsidR="00013E97">
        <w:rPr>
          <w:rStyle w:val="lev"/>
          <w:rFonts w:ascii="Calibri" w:hAnsi="Calibri"/>
          <w:color w:val="002060"/>
          <w:sz w:val="20"/>
          <w:szCs w:val="20"/>
        </w:rPr>
        <w:t xml:space="preserve"> </w:t>
      </w:r>
      <w:proofErr w:type="spellStart"/>
      <w:r w:rsidRPr="0086696A">
        <w:rPr>
          <w:rStyle w:val="lev"/>
          <w:rFonts w:ascii="Calibri" w:hAnsi="Calibri"/>
          <w:color w:val="002060"/>
          <w:sz w:val="20"/>
          <w:szCs w:val="20"/>
        </w:rPr>
        <w:t>excess</w:t>
      </w:r>
      <w:proofErr w:type="spellEnd"/>
      <w:r w:rsidRPr="0086696A">
        <w:rPr>
          <w:rStyle w:val="lev"/>
          <w:rFonts w:ascii="Calibri" w:hAnsi="Calibri"/>
          <w:color w:val="002060"/>
          <w:sz w:val="20"/>
          <w:szCs w:val="20"/>
        </w:rPr>
        <w:t xml:space="preserve"> of </w:t>
      </w:r>
      <w:proofErr w:type="spellStart"/>
      <w:r w:rsidRPr="0086696A">
        <w:rPr>
          <w:rStyle w:val="lev"/>
          <w:rFonts w:ascii="Calibri" w:hAnsi="Calibri"/>
          <w:color w:val="002060"/>
          <w:sz w:val="20"/>
          <w:szCs w:val="20"/>
        </w:rPr>
        <w:t>loss</w:t>
      </w:r>
      <w:proofErr w:type="spellEnd"/>
      <w:r w:rsidRPr="0086696A">
        <w:rPr>
          <w:rStyle w:val="lev"/>
          <w:rFonts w:ascii="Calibri" w:hAnsi="Calibri"/>
          <w:color w:val="002060"/>
          <w:sz w:val="20"/>
          <w:szCs w:val="20"/>
        </w:rPr>
        <w:t xml:space="preserve">) </w:t>
      </w:r>
      <w:r w:rsidRPr="0086696A">
        <w:rPr>
          <w:rFonts w:ascii="Calibri" w:hAnsi="Calibri"/>
          <w:color w:val="002060"/>
          <w:sz w:val="20"/>
          <w:szCs w:val="20"/>
        </w:rPr>
        <w:t>permet à une entreprise d'être indemnisée de la perte exceptionnelle qu'elle subit en cas d'insolvabilité de ses clients. Cette police définit une franchise et un plafond de décaissement. L'indemnisation se fait à partir du moment où le total des sinistres est supérieur à la franchise et ne dépasse pas le plafond de décaissement.</w:t>
      </w:r>
    </w:p>
    <w:p w:rsidR="007A3373" w:rsidRPr="0086696A" w:rsidRDefault="007A3373" w:rsidP="00013E97">
      <w:pPr>
        <w:pStyle w:val="revuetexte"/>
        <w:spacing w:after="120"/>
        <w:ind w:left="170"/>
        <w:jc w:val="both"/>
        <w:rPr>
          <w:rFonts w:ascii="Calibri" w:hAnsi="Calibri"/>
          <w:color w:val="002060"/>
          <w:sz w:val="20"/>
          <w:szCs w:val="20"/>
        </w:rPr>
      </w:pPr>
      <w:r w:rsidRPr="0086696A">
        <w:rPr>
          <w:rFonts w:ascii="Calibri" w:hAnsi="Calibri"/>
          <w:color w:val="002060"/>
          <w:sz w:val="20"/>
          <w:szCs w:val="20"/>
        </w:rPr>
        <w:t>L'assureur est rémunéré au prorata de ces indicateurs, en fonction de la délégation de gestion qu'il concède à l'entreprise.</w:t>
      </w:r>
    </w:p>
    <w:p w:rsidR="007A3373" w:rsidRPr="00013E97" w:rsidRDefault="007A3373" w:rsidP="00013E97">
      <w:pPr>
        <w:pStyle w:val="revuesousintertitre"/>
        <w:spacing w:before="0" w:after="60"/>
        <w:ind w:left="0"/>
        <w:jc w:val="both"/>
        <w:rPr>
          <w:rFonts w:ascii="Calibri" w:hAnsi="Calibri"/>
          <w:color w:val="002060"/>
          <w:sz w:val="21"/>
          <w:szCs w:val="21"/>
        </w:rPr>
      </w:pPr>
      <w:r w:rsidRPr="00013E97">
        <w:rPr>
          <w:rStyle w:val="revuesousintertitre1"/>
          <w:rFonts w:ascii="Calibri" w:hAnsi="Calibri"/>
          <w:color w:val="002060"/>
          <w:sz w:val="21"/>
          <w:szCs w:val="21"/>
        </w:rPr>
        <w:t xml:space="preserve">La couverture proposée dans un contrat d'affacturage </w:t>
      </w:r>
    </w:p>
    <w:p w:rsidR="007A3373" w:rsidRPr="0086696A" w:rsidRDefault="007A3373" w:rsidP="00013E97">
      <w:pPr>
        <w:pStyle w:val="revuetexte"/>
        <w:spacing w:after="60"/>
        <w:ind w:left="0"/>
        <w:jc w:val="both"/>
        <w:rPr>
          <w:rFonts w:ascii="Calibri" w:hAnsi="Calibri"/>
          <w:color w:val="002060"/>
          <w:sz w:val="20"/>
          <w:szCs w:val="20"/>
        </w:rPr>
      </w:pPr>
      <w:r w:rsidRPr="0086696A">
        <w:rPr>
          <w:rFonts w:ascii="Calibri" w:hAnsi="Calibri"/>
          <w:color w:val="002060"/>
          <w:sz w:val="20"/>
          <w:szCs w:val="20"/>
        </w:rPr>
        <w:t>Un contrat d'affacturage permet dans une certai</w:t>
      </w:r>
      <w:r w:rsidR="00013E97">
        <w:rPr>
          <w:rFonts w:ascii="Calibri" w:hAnsi="Calibri"/>
          <w:color w:val="002060"/>
          <w:sz w:val="20"/>
          <w:szCs w:val="20"/>
        </w:rPr>
        <w:t>ne mesure de couvrir son risque</w:t>
      </w:r>
      <w:r w:rsidRPr="0086696A">
        <w:rPr>
          <w:rFonts w:ascii="Calibri" w:hAnsi="Calibri"/>
          <w:color w:val="002060"/>
          <w:sz w:val="20"/>
          <w:szCs w:val="20"/>
        </w:rPr>
        <w:t>. En effet, les créances cédées au factor génèrent un gain de trésorerie immédiat et évitent les impacts internes liés à la durée des délais de paiement. L'intérêt d'un contrat d'affacturage est variable en fonction du secteur d'activité ainsi que de la qualité et du volume des créances cédées.</w:t>
      </w:r>
    </w:p>
    <w:p w:rsidR="00BF0B29" w:rsidRDefault="007A3373" w:rsidP="00BF0B29">
      <w:pPr>
        <w:pStyle w:val="revuetexte"/>
        <w:spacing w:after="60"/>
        <w:ind w:left="0"/>
        <w:jc w:val="both"/>
        <w:rPr>
          <w:rFonts w:ascii="Calibri" w:hAnsi="Calibri"/>
          <w:color w:val="002060"/>
          <w:sz w:val="20"/>
          <w:szCs w:val="20"/>
        </w:rPr>
      </w:pPr>
      <w:r w:rsidRPr="0086696A">
        <w:rPr>
          <w:rFonts w:ascii="Calibri" w:hAnsi="Calibri"/>
          <w:color w:val="002060"/>
          <w:sz w:val="20"/>
          <w:szCs w:val="20"/>
        </w:rPr>
        <w:t>Le recours à l'affacturage permet de limiter le risque de non-paiement sur tout ou partie du portefeuille de créances en transférant ce risque sur le factor et en externalisant la gestion des créances.</w:t>
      </w:r>
    </w:p>
    <w:p w:rsidR="008125EF" w:rsidRDefault="00BF0B29" w:rsidP="00BF0B29">
      <w:pPr>
        <w:pStyle w:val="revuetexte"/>
        <w:spacing w:after="100" w:afterAutospacing="1"/>
        <w:ind w:left="0"/>
        <w:jc w:val="both"/>
        <w:rPr>
          <w:rFonts w:ascii="Calibri" w:hAnsi="Calibri"/>
          <w:color w:val="002060"/>
          <w:sz w:val="20"/>
          <w:szCs w:val="20"/>
        </w:rPr>
      </w:pPr>
      <w:r>
        <w:rPr>
          <w:rFonts w:ascii="Calibri" w:hAnsi="Calibri"/>
          <w:color w:val="002060"/>
          <w:sz w:val="20"/>
          <w:szCs w:val="20"/>
        </w:rPr>
        <w:t>Il est conseillé</w:t>
      </w:r>
      <w:r w:rsidR="007A3373" w:rsidRPr="0086696A">
        <w:rPr>
          <w:rFonts w:ascii="Calibri" w:hAnsi="Calibri"/>
          <w:color w:val="002060"/>
          <w:sz w:val="20"/>
          <w:szCs w:val="20"/>
        </w:rPr>
        <w:t xml:space="preserve"> de suivre au plus près les relations avec le factor et le travail qu'il effectue sur le portefe</w:t>
      </w:r>
      <w:r>
        <w:rPr>
          <w:rFonts w:ascii="Calibri" w:hAnsi="Calibri"/>
          <w:color w:val="002060"/>
          <w:sz w:val="20"/>
          <w:szCs w:val="20"/>
        </w:rPr>
        <w:t>uille clients (c'est aussi l’</w:t>
      </w:r>
      <w:r w:rsidR="007A3373" w:rsidRPr="0086696A">
        <w:rPr>
          <w:rFonts w:ascii="Calibri" w:hAnsi="Calibri"/>
          <w:color w:val="002060"/>
          <w:sz w:val="20"/>
          <w:szCs w:val="20"/>
        </w:rPr>
        <w:t xml:space="preserve">image </w:t>
      </w:r>
      <w:r>
        <w:rPr>
          <w:rFonts w:ascii="Calibri" w:hAnsi="Calibri"/>
          <w:color w:val="002060"/>
          <w:sz w:val="20"/>
          <w:szCs w:val="20"/>
        </w:rPr>
        <w:t xml:space="preserve">de l’entreprise </w:t>
      </w:r>
      <w:r w:rsidR="007A3373" w:rsidRPr="0086696A">
        <w:rPr>
          <w:rFonts w:ascii="Calibri" w:hAnsi="Calibri"/>
          <w:color w:val="002060"/>
          <w:sz w:val="20"/>
          <w:szCs w:val="20"/>
        </w:rPr>
        <w:t>qui est en jeu). Le coût de l'opération d'affacturage est aussi à prendre en compte par rapport à l'évaluation qu'elles font des risques encourus.</w:t>
      </w:r>
    </w:p>
    <w:p w:rsidR="00FB1E5B" w:rsidRPr="0086696A" w:rsidRDefault="00FB1E5B" w:rsidP="00BF0B29">
      <w:pPr>
        <w:pStyle w:val="revuetexte"/>
        <w:spacing w:after="100" w:afterAutospacing="1"/>
        <w:ind w:left="0"/>
        <w:jc w:val="both"/>
        <w:rPr>
          <w:rFonts w:ascii="Calibri" w:hAnsi="Calibri"/>
          <w:color w:val="002060"/>
          <w:sz w:val="20"/>
          <w:szCs w:val="20"/>
        </w:rPr>
      </w:pPr>
    </w:p>
    <w:p w:rsidR="007A3373" w:rsidRPr="00DB7C7E" w:rsidRDefault="007A3373" w:rsidP="00D93C2C">
      <w:pPr>
        <w:pStyle w:val="revuetitre"/>
        <w:spacing w:before="0" w:after="120"/>
        <w:jc w:val="both"/>
        <w:rPr>
          <w:rFonts w:ascii="Calibri" w:hAnsi="Calibri"/>
          <w:color w:val="002060"/>
          <w:sz w:val="24"/>
        </w:rPr>
      </w:pPr>
      <w:r w:rsidRPr="00DB7C7E">
        <w:rPr>
          <w:rFonts w:ascii="Calibri" w:hAnsi="Calibri"/>
          <w:color w:val="002060"/>
          <w:sz w:val="24"/>
        </w:rPr>
        <w:lastRenderedPageBreak/>
        <w:t xml:space="preserve">Optimiser les rentrées de cash et se financer </w:t>
      </w:r>
    </w:p>
    <w:p w:rsidR="00BF0B29" w:rsidRDefault="007A3373" w:rsidP="00BF0B29">
      <w:pPr>
        <w:pStyle w:val="revuechapo"/>
        <w:spacing w:before="0" w:after="100" w:afterAutospacing="1"/>
        <w:ind w:left="0"/>
        <w:rPr>
          <w:rFonts w:ascii="Calibri" w:hAnsi="Calibri"/>
          <w:color w:val="002060"/>
          <w:sz w:val="20"/>
          <w:szCs w:val="20"/>
        </w:rPr>
      </w:pPr>
      <w:r w:rsidRPr="0086696A">
        <w:rPr>
          <w:rFonts w:ascii="Calibri" w:hAnsi="Calibri"/>
          <w:color w:val="002060"/>
          <w:sz w:val="20"/>
          <w:szCs w:val="20"/>
        </w:rPr>
        <w:t>La mise en place de relances systématiques et graduées ainsi que de processus interne de détection et de gestion des litiges sont les piliers d'un recouvrement efficient. Par ailleurs, le marché propose des solutions de financement externe adossées ou non à des garanties.</w:t>
      </w:r>
    </w:p>
    <w:p w:rsidR="007A3373" w:rsidRPr="00DB7C7E" w:rsidRDefault="00BF0B29" w:rsidP="00BF0B29">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Le recouvrement </w:t>
      </w:r>
    </w:p>
    <w:p w:rsidR="00BF0B29" w:rsidRDefault="007A3373" w:rsidP="007D66A9">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Le recouvrement est un facteur clé d'une bonne gestion du poste client. Il faut distinguer plusieurs phases dans ce processus : </w:t>
      </w:r>
    </w:p>
    <w:p w:rsidR="00BF0B29" w:rsidRDefault="00BF0B29" w:rsidP="00BF0B29">
      <w:pPr>
        <w:pStyle w:val="revuetexte"/>
        <w:numPr>
          <w:ilvl w:val="0"/>
          <w:numId w:val="2"/>
        </w:numPr>
        <w:spacing w:after="60"/>
        <w:ind w:left="170" w:hanging="170"/>
        <w:jc w:val="both"/>
        <w:rPr>
          <w:rFonts w:ascii="Calibri" w:hAnsi="Calibri"/>
          <w:color w:val="002060"/>
          <w:sz w:val="20"/>
          <w:szCs w:val="20"/>
        </w:rPr>
      </w:pPr>
      <w:r w:rsidRPr="0086696A">
        <w:rPr>
          <w:rFonts w:ascii="Calibri" w:hAnsi="Calibri"/>
          <w:color w:val="002060"/>
          <w:sz w:val="20"/>
          <w:szCs w:val="20"/>
        </w:rPr>
        <w:t xml:space="preserve">la </w:t>
      </w:r>
      <w:r>
        <w:rPr>
          <w:rFonts w:ascii="Calibri" w:hAnsi="Calibri"/>
          <w:color w:val="002060"/>
          <w:sz w:val="20"/>
          <w:szCs w:val="20"/>
        </w:rPr>
        <w:t>pré-</w:t>
      </w:r>
      <w:r w:rsidRPr="0086696A">
        <w:rPr>
          <w:rFonts w:ascii="Calibri" w:hAnsi="Calibri"/>
          <w:color w:val="002060"/>
          <w:sz w:val="20"/>
          <w:szCs w:val="20"/>
        </w:rPr>
        <w:t>relance</w:t>
      </w:r>
      <w:r>
        <w:rPr>
          <w:rFonts w:ascii="Calibri" w:hAnsi="Calibri"/>
          <w:color w:val="002060"/>
          <w:sz w:val="20"/>
          <w:szCs w:val="20"/>
        </w:rPr>
        <w:t>,</w:t>
      </w:r>
    </w:p>
    <w:p w:rsidR="00BF0B29" w:rsidRDefault="00BF0B29" w:rsidP="00BF0B29">
      <w:pPr>
        <w:pStyle w:val="revuetexte"/>
        <w:numPr>
          <w:ilvl w:val="0"/>
          <w:numId w:val="2"/>
        </w:numPr>
        <w:spacing w:after="60"/>
        <w:ind w:left="170" w:hanging="170"/>
        <w:jc w:val="both"/>
        <w:rPr>
          <w:rFonts w:ascii="Calibri" w:hAnsi="Calibri"/>
          <w:color w:val="002060"/>
          <w:sz w:val="20"/>
          <w:szCs w:val="20"/>
        </w:rPr>
      </w:pPr>
      <w:r>
        <w:rPr>
          <w:rFonts w:ascii="Calibri" w:hAnsi="Calibri"/>
          <w:color w:val="002060"/>
          <w:sz w:val="20"/>
          <w:szCs w:val="20"/>
        </w:rPr>
        <w:t>la relance,</w:t>
      </w:r>
    </w:p>
    <w:p w:rsidR="00BF0B29" w:rsidRPr="0086696A" w:rsidRDefault="00BF0B29" w:rsidP="00BF0B29">
      <w:pPr>
        <w:pStyle w:val="revuetexte"/>
        <w:numPr>
          <w:ilvl w:val="0"/>
          <w:numId w:val="2"/>
        </w:numPr>
        <w:spacing w:after="120"/>
        <w:ind w:left="170" w:hanging="170"/>
        <w:jc w:val="both"/>
        <w:rPr>
          <w:rFonts w:ascii="Calibri" w:hAnsi="Calibri"/>
          <w:color w:val="002060"/>
          <w:sz w:val="20"/>
          <w:szCs w:val="20"/>
        </w:rPr>
      </w:pPr>
      <w:r>
        <w:rPr>
          <w:rFonts w:ascii="Calibri" w:hAnsi="Calibri"/>
          <w:color w:val="002060"/>
          <w:sz w:val="20"/>
          <w:szCs w:val="20"/>
        </w:rPr>
        <w:t>la mise au contentieux</w:t>
      </w:r>
    </w:p>
    <w:p w:rsidR="007A3373" w:rsidRPr="00BF0B29" w:rsidRDefault="00DB7C7E" w:rsidP="00BF0B29">
      <w:pPr>
        <w:pStyle w:val="revuesousintertitre"/>
        <w:spacing w:before="0" w:after="120"/>
        <w:ind w:left="0"/>
        <w:jc w:val="both"/>
        <w:rPr>
          <w:rFonts w:ascii="Calibri" w:hAnsi="Calibri"/>
          <w:color w:val="002060"/>
          <w:sz w:val="21"/>
          <w:szCs w:val="21"/>
        </w:rPr>
      </w:pPr>
      <w:r>
        <w:pict>
          <v:shape id="_x0000_i1031" type="#_x0000_t75" alt="triangle" style="width:9pt;height:7.5pt;visibility:visible;mso-wrap-style:square">
            <v:imagedata r:id="rId7" o:title="triangle"/>
          </v:shape>
        </w:pict>
      </w:r>
      <w:r w:rsidR="007A3373" w:rsidRPr="00BF0B29">
        <w:rPr>
          <w:rStyle w:val="revuesousintertitre1"/>
          <w:rFonts w:ascii="Calibri" w:hAnsi="Calibri"/>
          <w:color w:val="002060"/>
          <w:sz w:val="21"/>
          <w:szCs w:val="21"/>
        </w:rPr>
        <w:t xml:space="preserve">Les procédés amiables : les relances téléphoniques et écrites </w:t>
      </w:r>
    </w:p>
    <w:p w:rsidR="007A3373" w:rsidRPr="0086696A" w:rsidRDefault="007A3373" w:rsidP="00FB1E5B">
      <w:pPr>
        <w:pStyle w:val="revuetexte"/>
        <w:numPr>
          <w:ilvl w:val="0"/>
          <w:numId w:val="2"/>
        </w:numPr>
        <w:spacing w:after="60"/>
        <w:ind w:left="340" w:hanging="170"/>
        <w:jc w:val="both"/>
        <w:rPr>
          <w:rFonts w:ascii="Calibri" w:hAnsi="Calibri"/>
          <w:color w:val="002060"/>
          <w:sz w:val="20"/>
          <w:szCs w:val="20"/>
        </w:rPr>
      </w:pPr>
      <w:r w:rsidRPr="0086696A">
        <w:rPr>
          <w:rStyle w:val="lev"/>
          <w:rFonts w:ascii="Calibri" w:hAnsi="Calibri"/>
          <w:color w:val="002060"/>
          <w:sz w:val="20"/>
          <w:szCs w:val="20"/>
        </w:rPr>
        <w:t xml:space="preserve">La </w:t>
      </w:r>
      <w:r w:rsidR="00BF0B29">
        <w:rPr>
          <w:rStyle w:val="lev"/>
          <w:rFonts w:ascii="Calibri" w:hAnsi="Calibri"/>
          <w:color w:val="002060"/>
          <w:sz w:val="20"/>
          <w:szCs w:val="20"/>
        </w:rPr>
        <w:t>pré-</w:t>
      </w:r>
      <w:r w:rsidR="008125EF" w:rsidRPr="0086696A">
        <w:rPr>
          <w:rStyle w:val="lev"/>
          <w:rFonts w:ascii="Calibri" w:hAnsi="Calibri"/>
          <w:color w:val="002060"/>
          <w:sz w:val="20"/>
          <w:szCs w:val="20"/>
        </w:rPr>
        <w:t>relance</w:t>
      </w:r>
      <w:r w:rsidRPr="0086696A">
        <w:rPr>
          <w:rStyle w:val="lev"/>
          <w:rFonts w:ascii="Calibri" w:hAnsi="Calibri"/>
          <w:color w:val="002060"/>
          <w:sz w:val="20"/>
          <w:szCs w:val="20"/>
        </w:rPr>
        <w:t xml:space="preserve"> (ou « relance préventive ») </w:t>
      </w:r>
    </w:p>
    <w:p w:rsidR="00BF0B29" w:rsidRDefault="007A3373" w:rsidP="00FB1E5B">
      <w:pPr>
        <w:pStyle w:val="revuetexte"/>
        <w:spacing w:after="60"/>
        <w:ind w:left="340"/>
        <w:jc w:val="both"/>
        <w:rPr>
          <w:rFonts w:ascii="Calibri" w:hAnsi="Calibri"/>
          <w:color w:val="002060"/>
          <w:sz w:val="20"/>
          <w:szCs w:val="20"/>
        </w:rPr>
      </w:pPr>
      <w:r w:rsidRPr="0086696A">
        <w:rPr>
          <w:rFonts w:ascii="Calibri" w:hAnsi="Calibri"/>
          <w:color w:val="002060"/>
          <w:sz w:val="20"/>
          <w:szCs w:val="20"/>
        </w:rPr>
        <w:t>Il s'agit de contacter ses clients avant l'échéance de leur facture. Cette action peut paraître inutile, mais elle est au contraire très productive.</w:t>
      </w:r>
    </w:p>
    <w:p w:rsidR="007A3373" w:rsidRPr="0086696A" w:rsidRDefault="007A3373" w:rsidP="00FB1E5B">
      <w:pPr>
        <w:pStyle w:val="revuetexte"/>
        <w:spacing w:after="60"/>
        <w:ind w:left="340"/>
        <w:jc w:val="both"/>
        <w:rPr>
          <w:rFonts w:ascii="Calibri" w:hAnsi="Calibri"/>
          <w:color w:val="002060"/>
          <w:sz w:val="20"/>
          <w:szCs w:val="20"/>
        </w:rPr>
      </w:pPr>
      <w:r w:rsidRPr="0086696A">
        <w:rPr>
          <w:rFonts w:ascii="Calibri" w:hAnsi="Calibri"/>
          <w:color w:val="002060"/>
          <w:sz w:val="20"/>
          <w:szCs w:val="20"/>
        </w:rPr>
        <w:t>Elle doit être ciblée sur les clients « à risque », c'est-à-dire sur les clients qui sont potentiellement susceptibles de ne pas payer à échéance ou de ne pas payer du tout : ainsi, les nouveaux clients, ou les clients payant systématiquement en retard par exemple, peuvent faire l'objet de relances préventives.</w:t>
      </w:r>
    </w:p>
    <w:p w:rsidR="007A3373" w:rsidRPr="0086696A" w:rsidRDefault="007A3373" w:rsidP="00FB1E5B">
      <w:pPr>
        <w:pStyle w:val="revuetexte"/>
        <w:spacing w:after="60"/>
        <w:ind w:left="340"/>
        <w:jc w:val="both"/>
        <w:rPr>
          <w:rFonts w:ascii="Calibri" w:hAnsi="Calibri"/>
          <w:color w:val="002060"/>
          <w:sz w:val="20"/>
          <w:szCs w:val="20"/>
        </w:rPr>
      </w:pPr>
      <w:r w:rsidRPr="0086696A">
        <w:rPr>
          <w:rFonts w:ascii="Calibri" w:hAnsi="Calibri"/>
          <w:color w:val="002060"/>
          <w:sz w:val="20"/>
          <w:szCs w:val="20"/>
        </w:rPr>
        <w:t xml:space="preserve">La </w:t>
      </w:r>
      <w:r w:rsidR="00BF0B29">
        <w:rPr>
          <w:rFonts w:ascii="Calibri" w:hAnsi="Calibri"/>
          <w:color w:val="002060"/>
          <w:sz w:val="20"/>
          <w:szCs w:val="20"/>
        </w:rPr>
        <w:t>pré-</w:t>
      </w:r>
      <w:r w:rsidR="008125EF" w:rsidRPr="0086696A">
        <w:rPr>
          <w:rFonts w:ascii="Calibri" w:hAnsi="Calibri"/>
          <w:color w:val="002060"/>
          <w:sz w:val="20"/>
          <w:szCs w:val="20"/>
        </w:rPr>
        <w:t>relance</w:t>
      </w:r>
      <w:r w:rsidRPr="0086696A">
        <w:rPr>
          <w:rFonts w:ascii="Calibri" w:hAnsi="Calibri"/>
          <w:color w:val="002060"/>
          <w:sz w:val="20"/>
          <w:szCs w:val="20"/>
        </w:rPr>
        <w:t xml:space="preserve"> permet de consolider la relation commerciale, de vérifier que les informations recueillies lors de l'ouverture de compte sont correctes, que la facture et les documents nécessaires au paiement ont bien été reçus par le client. Elle permet également de détecter très tôt un éventuel litige et ainsi de le résoudre rapidement afin de ne pas subir de retard de paiement.</w:t>
      </w:r>
    </w:p>
    <w:p w:rsidR="007A3373" w:rsidRPr="0086696A" w:rsidRDefault="007A3373" w:rsidP="00FB1E5B">
      <w:pPr>
        <w:pStyle w:val="revuetexte"/>
        <w:spacing w:after="60"/>
        <w:ind w:left="340"/>
        <w:jc w:val="both"/>
        <w:rPr>
          <w:rFonts w:ascii="Calibri" w:hAnsi="Calibri"/>
          <w:color w:val="002060"/>
          <w:sz w:val="20"/>
          <w:szCs w:val="20"/>
        </w:rPr>
      </w:pPr>
      <w:r w:rsidRPr="0086696A">
        <w:rPr>
          <w:rFonts w:ascii="Calibri" w:hAnsi="Calibri"/>
          <w:color w:val="002060"/>
          <w:sz w:val="20"/>
          <w:szCs w:val="20"/>
        </w:rPr>
        <w:t>Contrairement aux idées reçues, ces relances sont perçues par les clients comme un gage de sérieux et de professionnalisme. Elles peuvent s'intégrer dans la démarche qualité de l'entreprise.</w:t>
      </w:r>
    </w:p>
    <w:p w:rsidR="007A3373" w:rsidRPr="0086696A" w:rsidRDefault="007A3373" w:rsidP="00FB1E5B">
      <w:pPr>
        <w:pStyle w:val="revuetexte"/>
        <w:numPr>
          <w:ilvl w:val="0"/>
          <w:numId w:val="2"/>
        </w:numPr>
        <w:spacing w:after="0"/>
        <w:ind w:left="340" w:hanging="170"/>
        <w:jc w:val="both"/>
        <w:rPr>
          <w:rFonts w:ascii="Calibri" w:hAnsi="Calibri"/>
          <w:color w:val="002060"/>
          <w:sz w:val="20"/>
          <w:szCs w:val="20"/>
        </w:rPr>
      </w:pPr>
      <w:r w:rsidRPr="0086696A">
        <w:rPr>
          <w:rStyle w:val="lev"/>
          <w:rFonts w:ascii="Calibri" w:hAnsi="Calibri"/>
          <w:color w:val="002060"/>
          <w:sz w:val="20"/>
          <w:szCs w:val="20"/>
        </w:rPr>
        <w:t xml:space="preserve">La relance après échéance </w:t>
      </w:r>
    </w:p>
    <w:p w:rsidR="007A3373" w:rsidRPr="0086696A" w:rsidRDefault="007A3373" w:rsidP="00FB1E5B">
      <w:pPr>
        <w:pStyle w:val="revuetexte"/>
        <w:spacing w:after="60"/>
        <w:ind w:left="340"/>
        <w:jc w:val="both"/>
        <w:rPr>
          <w:rFonts w:ascii="Calibri" w:hAnsi="Calibri"/>
          <w:color w:val="002060"/>
          <w:sz w:val="20"/>
          <w:szCs w:val="20"/>
        </w:rPr>
      </w:pPr>
      <w:r w:rsidRPr="0086696A">
        <w:rPr>
          <w:rFonts w:ascii="Calibri" w:hAnsi="Calibri"/>
          <w:color w:val="002060"/>
          <w:sz w:val="20"/>
          <w:szCs w:val="20"/>
        </w:rPr>
        <w:t>Cette action est absolument nécessaire. Des études montrent que beaucoup d'entreprises en France (environ 30 %) ne relancent jamais leurs clients, ce qui provoque des déséquilibres de trésorerie et leur fait courir de réels risques financiers.</w:t>
      </w:r>
    </w:p>
    <w:p w:rsidR="007A3373" w:rsidRPr="0086696A" w:rsidRDefault="007A3373" w:rsidP="00FB1E5B">
      <w:pPr>
        <w:pStyle w:val="revuetexte"/>
        <w:numPr>
          <w:ilvl w:val="1"/>
          <w:numId w:val="2"/>
        </w:numPr>
        <w:spacing w:after="0"/>
        <w:ind w:left="510" w:hanging="170"/>
        <w:jc w:val="both"/>
        <w:rPr>
          <w:rFonts w:ascii="Calibri" w:hAnsi="Calibri"/>
          <w:color w:val="002060"/>
          <w:sz w:val="20"/>
          <w:szCs w:val="20"/>
        </w:rPr>
      </w:pPr>
      <w:r w:rsidRPr="0086696A">
        <w:rPr>
          <w:rStyle w:val="lev"/>
          <w:rFonts w:ascii="Calibri" w:hAnsi="Calibri"/>
          <w:color w:val="002060"/>
          <w:sz w:val="20"/>
          <w:szCs w:val="20"/>
        </w:rPr>
        <w:t xml:space="preserve">Les relances après échéance doivent faire l'objet de procédures écrites </w:t>
      </w:r>
      <w:r w:rsidRPr="0086696A">
        <w:rPr>
          <w:rFonts w:ascii="Calibri" w:hAnsi="Calibri"/>
          <w:color w:val="002060"/>
          <w:sz w:val="20"/>
          <w:szCs w:val="20"/>
        </w:rPr>
        <w:t>. Elles peuvent prendre en compte des relances téléphoniques et des relances écrites.</w:t>
      </w:r>
    </w:p>
    <w:p w:rsidR="007A3373" w:rsidRPr="0086696A" w:rsidRDefault="007A3373" w:rsidP="00FB1E5B">
      <w:pPr>
        <w:pStyle w:val="revuetexte"/>
        <w:spacing w:after="60"/>
        <w:ind w:left="510"/>
        <w:jc w:val="both"/>
        <w:rPr>
          <w:rFonts w:ascii="Calibri" w:hAnsi="Calibri"/>
          <w:color w:val="002060"/>
          <w:sz w:val="20"/>
          <w:szCs w:val="20"/>
        </w:rPr>
      </w:pPr>
      <w:r w:rsidRPr="0086696A">
        <w:rPr>
          <w:rFonts w:ascii="Calibri" w:hAnsi="Calibri"/>
          <w:color w:val="002060"/>
          <w:sz w:val="20"/>
          <w:szCs w:val="20"/>
        </w:rPr>
        <w:t>Elles doivent être « graduées », c'est-à-dire être de plus en plus fermes, pour déboucher sur la mise en demeure si le client refuse toujours de s'acquitter de sa dette.</w:t>
      </w:r>
    </w:p>
    <w:p w:rsidR="00250038" w:rsidRDefault="007A3373" w:rsidP="00FB1E5B">
      <w:pPr>
        <w:pStyle w:val="revuetexte"/>
        <w:numPr>
          <w:ilvl w:val="1"/>
          <w:numId w:val="2"/>
        </w:numPr>
        <w:spacing w:after="60"/>
        <w:ind w:left="510" w:hanging="170"/>
        <w:jc w:val="both"/>
        <w:rPr>
          <w:rFonts w:ascii="Calibri" w:hAnsi="Calibri"/>
          <w:color w:val="002060"/>
          <w:sz w:val="20"/>
          <w:szCs w:val="20"/>
        </w:rPr>
      </w:pPr>
      <w:r w:rsidRPr="0086696A">
        <w:rPr>
          <w:rStyle w:val="lev"/>
          <w:rFonts w:ascii="Calibri" w:hAnsi="Calibri"/>
          <w:color w:val="002060"/>
          <w:sz w:val="20"/>
          <w:szCs w:val="20"/>
        </w:rPr>
        <w:t xml:space="preserve">Une bonne relance doit être faite par un personnel formé à cet effet (chargé de recouvrement, commerciaux...) </w:t>
      </w:r>
      <w:r w:rsidRPr="0086696A">
        <w:rPr>
          <w:rFonts w:ascii="Calibri" w:hAnsi="Calibri"/>
          <w:color w:val="002060"/>
          <w:sz w:val="20"/>
          <w:szCs w:val="20"/>
        </w:rPr>
        <w:t>. Les dossiers, les documents relatifs à la facture, l'historique clients et les informations récentes doivent être mis à la disposition du chargé de recouvrement afin de faciliter son travail.</w:t>
      </w:r>
    </w:p>
    <w:p w:rsidR="00250038" w:rsidRDefault="007A3373" w:rsidP="00FB1E5B">
      <w:pPr>
        <w:pStyle w:val="revuetexte"/>
        <w:spacing w:after="120"/>
        <w:ind w:left="510"/>
        <w:jc w:val="both"/>
        <w:rPr>
          <w:rFonts w:ascii="Calibri" w:hAnsi="Calibri"/>
          <w:color w:val="002060"/>
          <w:sz w:val="20"/>
          <w:szCs w:val="20"/>
        </w:rPr>
      </w:pPr>
      <w:r w:rsidRPr="00250038">
        <w:rPr>
          <w:rFonts w:ascii="Calibri" w:hAnsi="Calibri"/>
          <w:color w:val="002060"/>
          <w:sz w:val="20"/>
          <w:szCs w:val="20"/>
        </w:rPr>
        <w:t xml:space="preserve">La LME fournit des arguments indiscutables qui vont faciliter les relances : d'une part, les sanctions encourues en cas de non-respect des délais de paiement légaux et, d'autre part, le renforcement des pénalités de retard en cas de paiement après la date d'échéance. </w:t>
      </w:r>
    </w:p>
    <w:p w:rsidR="007A3373" w:rsidRDefault="00250038" w:rsidP="00250038">
      <w:pPr>
        <w:pStyle w:val="revuetexte"/>
        <w:spacing w:after="120"/>
        <w:ind w:left="284"/>
        <w:jc w:val="both"/>
        <w:rPr>
          <w:rFonts w:ascii="Calibri" w:hAnsi="Calibri"/>
          <w:color w:val="002060"/>
          <w:sz w:val="20"/>
          <w:szCs w:val="20"/>
        </w:rPr>
      </w:pPr>
      <w:r>
        <w:rPr>
          <w:rFonts w:ascii="Calibri" w:hAnsi="Calibri"/>
          <w:color w:val="002060"/>
          <w:sz w:val="20"/>
          <w:szCs w:val="20"/>
        </w:rPr>
        <w:t>Sur les courriers de relance, ne pas</w:t>
      </w:r>
      <w:r w:rsidR="007A3373" w:rsidRPr="0086696A">
        <w:rPr>
          <w:rFonts w:ascii="Calibri" w:hAnsi="Calibri"/>
          <w:color w:val="002060"/>
          <w:sz w:val="20"/>
          <w:szCs w:val="20"/>
        </w:rPr>
        <w:t xml:space="preserve"> </w:t>
      </w:r>
      <w:r>
        <w:rPr>
          <w:rFonts w:ascii="Calibri" w:hAnsi="Calibri"/>
          <w:color w:val="002060"/>
          <w:sz w:val="20"/>
          <w:szCs w:val="20"/>
        </w:rPr>
        <w:t>oublier</w:t>
      </w:r>
      <w:r w:rsidR="007A3373" w:rsidRPr="0086696A">
        <w:rPr>
          <w:rFonts w:ascii="Calibri" w:hAnsi="Calibri"/>
          <w:color w:val="002060"/>
          <w:sz w:val="20"/>
          <w:szCs w:val="20"/>
        </w:rPr>
        <w:t xml:space="preserve"> de mentionner l'article du code de commerce traitant des pénalités de retard : vous pourrez ainsi prouver votre bonne foi en cas de contrôle de la DGCCRF sur le fait que vous n'avez pas convenu avec votre client de déroger à la loi. De plus, vous pourrez vous faire payer ces pénalités dans certains cas !</w:t>
      </w:r>
    </w:p>
    <w:p w:rsidR="00250038" w:rsidRDefault="00250038" w:rsidP="00250038">
      <w:pPr>
        <w:pStyle w:val="revuetexte"/>
        <w:spacing w:after="60"/>
        <w:ind w:left="284"/>
        <w:jc w:val="both"/>
        <w:rPr>
          <w:rFonts w:ascii="Calibri" w:hAnsi="Calibri"/>
          <w:color w:val="002060"/>
          <w:sz w:val="20"/>
          <w:szCs w:val="20"/>
        </w:rPr>
      </w:pPr>
      <w:r w:rsidRPr="00250038">
        <w:rPr>
          <w:rStyle w:val="lev"/>
          <w:rFonts w:ascii="Calibri" w:hAnsi="Calibri"/>
          <w:color w:val="002060"/>
          <w:sz w:val="20"/>
          <w:szCs w:val="20"/>
        </w:rPr>
        <w:t>Modèles de courrier</w:t>
      </w:r>
      <w:r w:rsidRPr="00250038">
        <w:rPr>
          <w:rFonts w:ascii="Calibri" w:hAnsi="Calibri"/>
          <w:color w:val="002060"/>
          <w:sz w:val="20"/>
          <w:szCs w:val="20"/>
        </w:rPr>
        <w:t xml:space="preserve">. </w:t>
      </w:r>
    </w:p>
    <w:tbl>
      <w:tblPr>
        <w:tblStyle w:val="Grilledutableau"/>
        <w:tblW w:w="0" w:type="auto"/>
        <w:tblInd w:w="279" w:type="dxa"/>
        <w:tblLook w:val="04A0" w:firstRow="1" w:lastRow="0" w:firstColumn="1" w:lastColumn="0" w:noHBand="0" w:noVBand="1"/>
      </w:tblPr>
      <w:tblGrid>
        <w:gridCol w:w="9915"/>
      </w:tblGrid>
      <w:tr w:rsidR="00250038" w:rsidTr="005151CC">
        <w:tc>
          <w:tcPr>
            <w:tcW w:w="9911" w:type="dxa"/>
          </w:tcPr>
          <w:p w:rsidR="00250038" w:rsidRPr="00250038" w:rsidRDefault="00250038" w:rsidP="005151CC">
            <w:pPr>
              <w:pStyle w:val="revuetexte"/>
              <w:spacing w:before="60" w:after="60"/>
              <w:ind w:left="0" w:right="284"/>
              <w:jc w:val="both"/>
              <w:rPr>
                <w:rFonts w:ascii="Calibri" w:hAnsi="Calibri"/>
                <w:color w:val="002060"/>
                <w:sz w:val="20"/>
                <w:szCs w:val="20"/>
              </w:rPr>
            </w:pPr>
            <w:r w:rsidRPr="00250038">
              <w:rPr>
                <w:rFonts w:ascii="Calibri" w:hAnsi="Calibri"/>
                <w:color w:val="002060"/>
                <w:sz w:val="20"/>
                <w:szCs w:val="20"/>
              </w:rPr>
              <w:t>1° lettre de relance à envoyer dans les 5 jours après l'échéance, sauf dans les cas de retard complexe (échéances multiples) ou de montant important, ou bien s'il s'agit d'un client public ou à risque.</w:t>
            </w:r>
          </w:p>
          <w:p w:rsidR="00250038" w:rsidRPr="00250038" w:rsidRDefault="00250038" w:rsidP="005151CC">
            <w:pPr>
              <w:pStyle w:val="revuetexte"/>
              <w:spacing w:after="0"/>
              <w:ind w:right="284"/>
              <w:jc w:val="both"/>
              <w:rPr>
                <w:rStyle w:val="revueremarquetitre"/>
                <w:rFonts w:ascii="Calibri" w:hAnsi="Calibri"/>
                <w:b w:val="0"/>
                <w:bCs w:val="0"/>
                <w:color w:val="002060"/>
                <w:sz w:val="20"/>
                <w:szCs w:val="20"/>
              </w:rPr>
            </w:pPr>
            <w:r w:rsidRPr="00250038">
              <w:rPr>
                <w:rStyle w:val="revueremarquetitre"/>
                <w:rFonts w:ascii="Calibri" w:hAnsi="Calibri"/>
                <w:color w:val="002060"/>
                <w:sz w:val="20"/>
                <w:szCs w:val="20"/>
              </w:rPr>
              <w:t xml:space="preserve">Exemple : </w:t>
            </w:r>
          </w:p>
          <w:p w:rsidR="00250038" w:rsidRPr="00250038" w:rsidRDefault="00250038" w:rsidP="005151CC">
            <w:pPr>
              <w:pStyle w:val="revuetexte"/>
              <w:spacing w:after="60"/>
              <w:ind w:left="130" w:right="284"/>
              <w:jc w:val="both"/>
              <w:rPr>
                <w:rFonts w:ascii="Calibri" w:hAnsi="Calibri"/>
                <w:color w:val="002060"/>
                <w:sz w:val="18"/>
                <w:szCs w:val="20"/>
              </w:rPr>
            </w:pPr>
            <w:r w:rsidRPr="00250038">
              <w:rPr>
                <w:rFonts w:ascii="Calibri" w:hAnsi="Calibri"/>
                <w:color w:val="002060"/>
                <w:sz w:val="18"/>
                <w:szCs w:val="20"/>
              </w:rPr>
              <w:t>« Cher client,</w:t>
            </w:r>
          </w:p>
          <w:p w:rsidR="00250038" w:rsidRPr="00250038" w:rsidRDefault="00250038" w:rsidP="005151CC">
            <w:pPr>
              <w:pStyle w:val="revuetexte"/>
              <w:spacing w:after="60"/>
              <w:ind w:left="130" w:right="284"/>
              <w:jc w:val="both"/>
              <w:rPr>
                <w:rFonts w:ascii="Calibri" w:hAnsi="Calibri"/>
                <w:color w:val="002060"/>
                <w:sz w:val="18"/>
                <w:szCs w:val="20"/>
              </w:rPr>
            </w:pPr>
            <w:r w:rsidRPr="00250038">
              <w:rPr>
                <w:rFonts w:ascii="Calibri" w:hAnsi="Calibri"/>
                <w:color w:val="002060"/>
                <w:sz w:val="18"/>
                <w:szCs w:val="20"/>
              </w:rPr>
              <w:t>Nous n'avons pas enregistré le paiement correspondant aux factures suivantes :</w:t>
            </w:r>
          </w:p>
          <w:p w:rsidR="00250038" w:rsidRPr="00250038" w:rsidRDefault="00250038" w:rsidP="005151CC">
            <w:pPr>
              <w:pStyle w:val="revuetexte"/>
              <w:spacing w:after="60"/>
              <w:ind w:left="130" w:right="284"/>
              <w:jc w:val="both"/>
              <w:rPr>
                <w:rFonts w:ascii="Calibri" w:hAnsi="Calibri"/>
                <w:color w:val="002060"/>
                <w:sz w:val="18"/>
                <w:szCs w:val="20"/>
              </w:rPr>
            </w:pPr>
            <w:r w:rsidRPr="00250038">
              <w:rPr>
                <w:rFonts w:ascii="Calibri" w:hAnsi="Calibri"/>
                <w:color w:val="002060"/>
                <w:sz w:val="18"/>
                <w:szCs w:val="20"/>
              </w:rPr>
              <w:t>Date n° de facture montant TTC date de paiement ….</w:t>
            </w:r>
          </w:p>
          <w:p w:rsidR="005151CC" w:rsidRDefault="00250038" w:rsidP="005151CC">
            <w:pPr>
              <w:pStyle w:val="revuetexte"/>
              <w:spacing w:after="60"/>
              <w:ind w:left="130" w:right="284"/>
              <w:jc w:val="both"/>
              <w:rPr>
                <w:rFonts w:ascii="Calibri" w:hAnsi="Calibri"/>
                <w:color w:val="002060"/>
                <w:sz w:val="18"/>
                <w:szCs w:val="20"/>
              </w:rPr>
            </w:pPr>
            <w:r w:rsidRPr="00250038">
              <w:rPr>
                <w:rFonts w:ascii="Calibri" w:hAnsi="Calibri"/>
                <w:color w:val="002060"/>
                <w:sz w:val="18"/>
                <w:szCs w:val="20"/>
              </w:rPr>
              <w:t xml:space="preserve">Comme nous pensons qu'il s'agit d'un simple oubli, nous vous demandons de nous faire parvenir par retour de courrier un chèque du montant total. Nous vous rappelons que l'article L. 441-6 du code de commerce stipule que des </w:t>
            </w:r>
            <w:r w:rsidRPr="00250038">
              <w:rPr>
                <w:rStyle w:val="lev"/>
                <w:rFonts w:ascii="Calibri" w:hAnsi="Calibri"/>
                <w:color w:val="002060"/>
                <w:sz w:val="18"/>
                <w:szCs w:val="20"/>
              </w:rPr>
              <w:t>pénalités de retard nous sont dues</w:t>
            </w:r>
            <w:r w:rsidRPr="00250038">
              <w:rPr>
                <w:rFonts w:ascii="Calibri" w:hAnsi="Calibri"/>
                <w:color w:val="002060"/>
                <w:sz w:val="18"/>
                <w:szCs w:val="20"/>
              </w:rPr>
              <w:t xml:space="preserve"> au taux de......% l'an, sans qu'un rappel soit nécessaire, l</w:t>
            </w:r>
            <w:r w:rsidRPr="00250038">
              <w:rPr>
                <w:rStyle w:val="lev"/>
                <w:rFonts w:ascii="Calibri" w:hAnsi="Calibri"/>
                <w:color w:val="002060"/>
                <w:sz w:val="18"/>
                <w:szCs w:val="20"/>
              </w:rPr>
              <w:t>e jour suivant la date de l'échéance</w:t>
            </w:r>
            <w:r w:rsidRPr="00250038">
              <w:rPr>
                <w:rFonts w:ascii="Calibri" w:hAnsi="Calibri"/>
                <w:color w:val="002060"/>
                <w:sz w:val="18"/>
                <w:szCs w:val="20"/>
              </w:rPr>
              <w:t>.</w:t>
            </w:r>
          </w:p>
          <w:p w:rsidR="00250038" w:rsidRPr="00250038" w:rsidRDefault="00250038" w:rsidP="005151CC">
            <w:pPr>
              <w:pStyle w:val="revuetexte"/>
              <w:spacing w:after="60"/>
              <w:ind w:left="130" w:right="284"/>
              <w:jc w:val="both"/>
              <w:rPr>
                <w:rFonts w:ascii="Calibri" w:hAnsi="Calibri"/>
                <w:color w:val="002060"/>
                <w:sz w:val="18"/>
                <w:szCs w:val="20"/>
              </w:rPr>
            </w:pPr>
            <w:r w:rsidRPr="00250038">
              <w:rPr>
                <w:rFonts w:ascii="Calibri" w:hAnsi="Calibri"/>
                <w:color w:val="002060"/>
                <w:sz w:val="18"/>
                <w:szCs w:val="20"/>
              </w:rPr>
              <w:t>Nous vous remercions à l'avance de votre paiement et vous adressons nos sincères salutations.</w:t>
            </w:r>
          </w:p>
          <w:p w:rsidR="00250038" w:rsidRDefault="00250038" w:rsidP="005151CC">
            <w:pPr>
              <w:pStyle w:val="revuetexte"/>
              <w:spacing w:after="120"/>
              <w:ind w:left="130" w:right="284"/>
              <w:jc w:val="both"/>
              <w:rPr>
                <w:rFonts w:ascii="Calibri" w:hAnsi="Calibri"/>
                <w:color w:val="002060"/>
                <w:sz w:val="20"/>
                <w:szCs w:val="20"/>
              </w:rPr>
            </w:pPr>
            <w:r w:rsidRPr="00250038">
              <w:rPr>
                <w:rFonts w:ascii="Calibri" w:hAnsi="Calibri"/>
                <w:color w:val="002060"/>
                <w:sz w:val="20"/>
                <w:szCs w:val="20"/>
              </w:rPr>
              <w:t>Pièces jointes : copies des factures ci-dessus référencées ».</w:t>
            </w:r>
          </w:p>
        </w:tc>
      </w:tr>
      <w:tr w:rsidR="00250038" w:rsidTr="005151CC">
        <w:tc>
          <w:tcPr>
            <w:tcW w:w="9915" w:type="dxa"/>
          </w:tcPr>
          <w:p w:rsidR="00250038" w:rsidRPr="00250038" w:rsidRDefault="00250038" w:rsidP="005151CC">
            <w:pPr>
              <w:pStyle w:val="revuetexte"/>
              <w:spacing w:before="60" w:after="60"/>
              <w:ind w:left="0" w:right="284"/>
              <w:jc w:val="both"/>
              <w:rPr>
                <w:rFonts w:ascii="Calibri" w:hAnsi="Calibri"/>
                <w:color w:val="002060"/>
                <w:sz w:val="20"/>
                <w:szCs w:val="20"/>
              </w:rPr>
            </w:pPr>
            <w:r w:rsidRPr="00250038">
              <w:rPr>
                <w:rFonts w:ascii="Calibri" w:hAnsi="Calibri"/>
                <w:color w:val="002060"/>
                <w:sz w:val="20"/>
                <w:szCs w:val="20"/>
              </w:rPr>
              <w:lastRenderedPageBreak/>
              <w:t>Une 2° lettre de relance devra être envoyée en recommandé avec accusé de réception, 10 jours après la lettre de relance n° 1 restée sans réponse.</w:t>
            </w:r>
          </w:p>
          <w:p w:rsidR="00250038" w:rsidRPr="00250038" w:rsidRDefault="00250038" w:rsidP="005151CC">
            <w:pPr>
              <w:pStyle w:val="revuetexte"/>
              <w:spacing w:after="60"/>
              <w:ind w:left="0" w:right="284"/>
              <w:jc w:val="both"/>
              <w:rPr>
                <w:rStyle w:val="revueremarquetitre"/>
                <w:rFonts w:ascii="Calibri" w:hAnsi="Calibri"/>
                <w:color w:val="002060"/>
                <w:sz w:val="20"/>
                <w:szCs w:val="20"/>
              </w:rPr>
            </w:pPr>
            <w:r w:rsidRPr="00250038">
              <w:rPr>
                <w:rStyle w:val="revueremarquetitre"/>
                <w:rFonts w:ascii="Calibri" w:hAnsi="Calibri"/>
                <w:color w:val="002060"/>
                <w:sz w:val="20"/>
                <w:szCs w:val="20"/>
              </w:rPr>
              <w:t xml:space="preserve">Exemple : </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 Cher client,</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Nous n'avons pas reçu de réponse à notre lettre de rappel du JJ/MM/AA ni le paiement correspondant aux factures suivantes :</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Date n° de facture montant TTC date de paiement …..</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Nous vous rappelons que la loi 2001-420 du 15 mai 2001, renforcée par la loi de modernisation de l'économie en application depuis le 1</w:t>
            </w:r>
            <w:r w:rsidRPr="00250038">
              <w:rPr>
                <w:rFonts w:ascii="Calibri" w:hAnsi="Calibri"/>
                <w:color w:val="002060"/>
                <w:sz w:val="18"/>
                <w:szCs w:val="20"/>
                <w:vertAlign w:val="superscript"/>
              </w:rPr>
              <w:t>er</w:t>
            </w:r>
            <w:r w:rsidRPr="00250038">
              <w:rPr>
                <w:rFonts w:ascii="Calibri" w:hAnsi="Calibri"/>
                <w:color w:val="002060"/>
                <w:sz w:val="18"/>
                <w:szCs w:val="20"/>
              </w:rPr>
              <w:t xml:space="preserve"> janvier 2009, et l'article L. 441-6 du code de commerce stipulent que tout retard de paiement fait courir de plein droit les pénalités de retard correspondantes dès le jour suivant la date de règlement figurant sur notre facture.</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Nos conditions générales de vente précisent que celles-ci sont calculées sur la base... (par exemple du taux de refinancement de la BCE majoré de 11 points), soit X % l'an.</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En conséquence, vous voudrez bien nous faire parvenir par retour de courrier un chèque d'un montant total de XX €, incluant le montant des pénalités précitées.</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À défaut de paiement reçu sous 8 jours, nous nous verrions dans l'impossibilité de vous faire bénéficier de nos prestations à découvert.</w:t>
            </w:r>
          </w:p>
          <w:p w:rsidR="00250038" w:rsidRPr="00250038"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Dans l'attente de votre paiement, nous vous adressons nos sincères salutations.</w:t>
            </w:r>
          </w:p>
          <w:p w:rsidR="00250038" w:rsidRPr="005151CC" w:rsidRDefault="00250038" w:rsidP="005151CC">
            <w:pPr>
              <w:pStyle w:val="revuetexte"/>
              <w:spacing w:after="60"/>
              <w:ind w:left="0" w:right="284"/>
              <w:jc w:val="both"/>
              <w:rPr>
                <w:rFonts w:ascii="Calibri" w:hAnsi="Calibri"/>
                <w:color w:val="002060"/>
                <w:sz w:val="18"/>
                <w:szCs w:val="20"/>
              </w:rPr>
            </w:pPr>
            <w:r w:rsidRPr="00250038">
              <w:rPr>
                <w:rFonts w:ascii="Calibri" w:hAnsi="Calibri"/>
                <w:color w:val="002060"/>
                <w:sz w:val="18"/>
                <w:szCs w:val="20"/>
              </w:rPr>
              <w:t>Pièces jointes : copie des factures ci-dessus référencées ».</w:t>
            </w:r>
          </w:p>
        </w:tc>
      </w:tr>
    </w:tbl>
    <w:p w:rsidR="007A3373" w:rsidRPr="005151CC" w:rsidRDefault="005151CC" w:rsidP="00DB7C7E">
      <w:pPr>
        <w:pStyle w:val="revuesousintertitre"/>
        <w:spacing w:before="120" w:after="0"/>
        <w:ind w:left="0"/>
        <w:jc w:val="both"/>
        <w:rPr>
          <w:rFonts w:ascii="Calibri" w:hAnsi="Calibri"/>
          <w:color w:val="002060"/>
          <w:sz w:val="21"/>
          <w:szCs w:val="21"/>
        </w:rPr>
      </w:pPr>
      <w:r w:rsidRPr="006446A5">
        <w:rPr>
          <w:noProof/>
        </w:rPr>
        <w:drawing>
          <wp:inline distT="0" distB="0" distL="0" distR="0">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5151CC">
        <w:rPr>
          <w:rStyle w:val="revuesousintertitre1"/>
          <w:rFonts w:ascii="Calibri" w:hAnsi="Calibri"/>
          <w:color w:val="002060"/>
          <w:sz w:val="21"/>
          <w:szCs w:val="21"/>
        </w:rPr>
        <w:t xml:space="preserve">Gérer les litiges à l'amiable : les quatre grandes étapes </w:t>
      </w:r>
    </w:p>
    <w:p w:rsidR="005151CC" w:rsidRDefault="005151CC" w:rsidP="005151CC">
      <w:pPr>
        <w:pStyle w:val="revuetexte"/>
        <w:spacing w:after="60"/>
        <w:ind w:left="170"/>
        <w:jc w:val="both"/>
        <w:rPr>
          <w:rFonts w:ascii="Calibri" w:hAnsi="Calibri"/>
          <w:color w:val="002060"/>
          <w:sz w:val="20"/>
          <w:szCs w:val="20"/>
        </w:rPr>
      </w:pPr>
      <w:r>
        <w:rPr>
          <w:rFonts w:ascii="Calibri" w:hAnsi="Calibri"/>
          <w:color w:val="002060"/>
          <w:sz w:val="20"/>
          <w:szCs w:val="20"/>
        </w:rPr>
        <w:t>C</w:t>
      </w:r>
      <w:r w:rsidR="007A3373" w:rsidRPr="0086696A">
        <w:rPr>
          <w:rFonts w:ascii="Calibri" w:hAnsi="Calibri"/>
          <w:color w:val="002060"/>
          <w:sz w:val="20"/>
          <w:szCs w:val="20"/>
        </w:rPr>
        <w:t xml:space="preserve">ertaines entreprises clientes </w:t>
      </w:r>
      <w:r>
        <w:rPr>
          <w:rFonts w:ascii="Calibri" w:hAnsi="Calibri"/>
          <w:color w:val="002060"/>
          <w:sz w:val="20"/>
          <w:szCs w:val="20"/>
        </w:rPr>
        <w:t>peuvent être</w:t>
      </w:r>
      <w:r w:rsidR="007A3373" w:rsidRPr="0086696A">
        <w:rPr>
          <w:rFonts w:ascii="Calibri" w:hAnsi="Calibri"/>
          <w:color w:val="002060"/>
          <w:sz w:val="20"/>
          <w:szCs w:val="20"/>
        </w:rPr>
        <w:t xml:space="preserve"> tentées de déclarer des litiges afin de retarder l'échéance de paiement. Cette pratique peut entraîner chez vous un surcroît d'activité et des difficultés de gestion pour vos équipes.</w:t>
      </w:r>
    </w:p>
    <w:p w:rsidR="007A3373" w:rsidRPr="0086696A" w:rsidRDefault="007A3373" w:rsidP="005151CC">
      <w:pPr>
        <w:pStyle w:val="revuetexte"/>
        <w:spacing w:after="120"/>
        <w:ind w:left="170"/>
        <w:jc w:val="both"/>
        <w:rPr>
          <w:rFonts w:ascii="Calibri" w:hAnsi="Calibri"/>
          <w:color w:val="002060"/>
          <w:sz w:val="20"/>
          <w:szCs w:val="20"/>
        </w:rPr>
      </w:pPr>
      <w:r w:rsidRPr="0086696A">
        <w:rPr>
          <w:rFonts w:ascii="Calibri" w:hAnsi="Calibri"/>
          <w:color w:val="002060"/>
          <w:sz w:val="20"/>
          <w:szCs w:val="20"/>
        </w:rPr>
        <w:t xml:space="preserve">Voici quelques règles simples permettant de mettre en place un processus </w:t>
      </w:r>
      <w:r w:rsidR="005151CC" w:rsidRPr="0086696A">
        <w:rPr>
          <w:rFonts w:ascii="Calibri" w:hAnsi="Calibri"/>
          <w:color w:val="002060"/>
          <w:sz w:val="20"/>
          <w:szCs w:val="20"/>
        </w:rPr>
        <w:t>de détection et de gestion des litiges afin de les optimise</w:t>
      </w:r>
      <w:r w:rsidR="005151CC">
        <w:rPr>
          <w:rFonts w:ascii="Calibri" w:hAnsi="Calibri"/>
          <w:color w:val="002060"/>
          <w:sz w:val="20"/>
          <w:szCs w:val="20"/>
        </w:rPr>
        <w:t>r</w:t>
      </w:r>
      <w:r w:rsidRPr="0086696A">
        <w:rPr>
          <w:rFonts w:ascii="Calibri" w:hAnsi="Calibri"/>
          <w:color w:val="002060"/>
          <w:sz w:val="20"/>
          <w:szCs w:val="20"/>
        </w:rPr>
        <w:t>.</w:t>
      </w:r>
    </w:p>
    <w:p w:rsidR="007A3373" w:rsidRPr="0086696A" w:rsidRDefault="007A3373" w:rsidP="005151CC">
      <w:pPr>
        <w:pStyle w:val="revuetexte"/>
        <w:spacing w:after="60"/>
        <w:ind w:left="170"/>
        <w:jc w:val="both"/>
        <w:rPr>
          <w:rFonts w:ascii="Calibri" w:hAnsi="Calibri"/>
          <w:color w:val="002060"/>
          <w:sz w:val="20"/>
          <w:szCs w:val="20"/>
        </w:rPr>
      </w:pPr>
      <w:r w:rsidRPr="0086696A">
        <w:rPr>
          <w:rStyle w:val="lev"/>
          <w:rFonts w:ascii="Calibri" w:hAnsi="Calibri"/>
          <w:color w:val="002060"/>
          <w:sz w:val="20"/>
          <w:szCs w:val="20"/>
        </w:rPr>
        <w:t xml:space="preserve">Étape 1 : détecter les litiges le plus en amont possible </w:t>
      </w:r>
    </w:p>
    <w:p w:rsidR="007A3373" w:rsidRPr="0086696A" w:rsidRDefault="007A3373" w:rsidP="005151CC">
      <w:pPr>
        <w:pStyle w:val="revuetexte"/>
        <w:spacing w:after="60"/>
        <w:ind w:left="170"/>
        <w:jc w:val="both"/>
        <w:rPr>
          <w:rFonts w:ascii="Calibri" w:hAnsi="Calibri"/>
          <w:color w:val="002060"/>
          <w:sz w:val="20"/>
          <w:szCs w:val="20"/>
        </w:rPr>
      </w:pPr>
      <w:r w:rsidRPr="0086696A">
        <w:rPr>
          <w:rFonts w:ascii="Calibri" w:hAnsi="Calibri"/>
          <w:color w:val="002060"/>
          <w:sz w:val="20"/>
          <w:szCs w:val="20"/>
        </w:rPr>
        <w:t>Pour cela, l'entreprise doit utiliser les ressources internes à sa disposition.</w:t>
      </w:r>
    </w:p>
    <w:p w:rsidR="007A3373" w:rsidRPr="0086696A" w:rsidRDefault="005151CC" w:rsidP="005151CC">
      <w:pPr>
        <w:pStyle w:val="revuetexte"/>
        <w:spacing w:after="60"/>
        <w:ind w:left="340" w:hanging="170"/>
        <w:jc w:val="both"/>
        <w:rPr>
          <w:rFonts w:ascii="Calibri" w:hAnsi="Calibri"/>
          <w:color w:val="002060"/>
          <w:sz w:val="20"/>
          <w:szCs w:val="20"/>
        </w:rPr>
      </w:pPr>
      <w:r w:rsidRPr="006446A5">
        <w:rPr>
          <w:noProof/>
        </w:rPr>
        <w:drawing>
          <wp:inline distT="0" distB="0" distL="0" distR="0" wp14:anchorId="1AC03357" wp14:editId="5A7E6054">
            <wp:extent cx="114300" cy="95250"/>
            <wp:effectExtent l="0" t="0" r="0" b="0"/>
            <wp:docPr id="20" name="Image 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Les équipes commerciales</w:t>
      </w:r>
      <w:r w:rsidR="007A3373" w:rsidRPr="0086696A">
        <w:rPr>
          <w:rFonts w:ascii="Calibri" w:hAnsi="Calibri"/>
          <w:color w:val="002060"/>
          <w:sz w:val="20"/>
          <w:szCs w:val="20"/>
        </w:rPr>
        <w:t>. Les commerciaux, en contact direct avec les clients, remontent parfois de l'information sur la santé financière des clients ou sur l'évolution de leur relation avec eux. Ce sont les plus aptes à détecter les litiges dès leur survenance. Il est toutefois préférable de les sensibiliser sur les points de contrôle : conformité des livraisons, des factures, des bons à payer... et de les former au traitement des objections.</w:t>
      </w:r>
    </w:p>
    <w:p w:rsidR="007A3373" w:rsidRPr="0086696A" w:rsidRDefault="005151CC" w:rsidP="005151CC">
      <w:pPr>
        <w:pStyle w:val="revuetexte"/>
        <w:spacing w:after="60"/>
        <w:ind w:left="340" w:hanging="170"/>
        <w:jc w:val="both"/>
        <w:rPr>
          <w:rFonts w:ascii="Calibri" w:hAnsi="Calibri"/>
          <w:color w:val="002060"/>
          <w:sz w:val="20"/>
          <w:szCs w:val="20"/>
        </w:rPr>
      </w:pPr>
      <w:r w:rsidRPr="006446A5">
        <w:rPr>
          <w:noProof/>
        </w:rPr>
        <w:drawing>
          <wp:inline distT="0" distB="0" distL="0" distR="0" wp14:anchorId="1AC03357" wp14:editId="5A7E6054">
            <wp:extent cx="114300" cy="95250"/>
            <wp:effectExtent l="0" t="0" r="0" b="0"/>
            <wp:docPr id="31" name="Image 3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Les chargés de recouvrement</w:t>
      </w:r>
      <w:r w:rsidR="007A3373" w:rsidRPr="0086696A">
        <w:rPr>
          <w:rFonts w:ascii="Calibri" w:hAnsi="Calibri"/>
          <w:color w:val="002060"/>
          <w:sz w:val="20"/>
          <w:szCs w:val="20"/>
        </w:rPr>
        <w:t xml:space="preserve">. Si des relances préventives (avant échéance) sont mises en place, les chargés de recouvrement pourront facilement détecter les litiges pressentis avant la date d'échéance de </w:t>
      </w:r>
      <w:smartTag w:uri="urn:schemas-microsoft-com:office:smarttags" w:element="PersonName">
        <w:smartTagPr>
          <w:attr w:name="ProductID" w:val="la facture. Un"/>
        </w:smartTagPr>
        <w:r w:rsidR="007A3373" w:rsidRPr="0086696A">
          <w:rPr>
            <w:rFonts w:ascii="Calibri" w:hAnsi="Calibri"/>
            <w:color w:val="002060"/>
            <w:sz w:val="20"/>
            <w:szCs w:val="20"/>
          </w:rPr>
          <w:t>la facture. Un</w:t>
        </w:r>
      </w:smartTag>
      <w:r w:rsidR="007A3373" w:rsidRPr="0086696A">
        <w:rPr>
          <w:rFonts w:ascii="Calibri" w:hAnsi="Calibri"/>
          <w:color w:val="002060"/>
          <w:sz w:val="20"/>
          <w:szCs w:val="20"/>
        </w:rPr>
        <w:t xml:space="preserve"> traitement en amont évitera un retard de paiement.</w:t>
      </w:r>
    </w:p>
    <w:p w:rsidR="007A3373" w:rsidRPr="0086696A" w:rsidRDefault="005151CC" w:rsidP="005151CC">
      <w:pPr>
        <w:pStyle w:val="revuetexte"/>
        <w:spacing w:after="120"/>
        <w:ind w:left="340" w:hanging="170"/>
        <w:jc w:val="both"/>
        <w:rPr>
          <w:rFonts w:ascii="Calibri" w:hAnsi="Calibri"/>
          <w:color w:val="002060"/>
          <w:sz w:val="20"/>
          <w:szCs w:val="20"/>
        </w:rPr>
      </w:pPr>
      <w:r w:rsidRPr="006446A5">
        <w:rPr>
          <w:noProof/>
        </w:rPr>
        <w:drawing>
          <wp:inline distT="0" distB="0" distL="0" distR="0" wp14:anchorId="1AC03357" wp14:editId="5A7E6054">
            <wp:extent cx="114300" cy="95250"/>
            <wp:effectExtent l="0" t="0" r="0" b="0"/>
            <wp:docPr id="32" name="Image 3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Les équipes internes</w:t>
      </w:r>
      <w:r w:rsidR="007A3373" w:rsidRPr="0086696A">
        <w:rPr>
          <w:rFonts w:ascii="Calibri" w:hAnsi="Calibri"/>
          <w:color w:val="002060"/>
          <w:sz w:val="20"/>
          <w:szCs w:val="20"/>
        </w:rPr>
        <w:t xml:space="preserve">. Un tiers des litiges découlent de dysfonctionnements en interne (facturation, logistique...). </w:t>
      </w:r>
    </w:p>
    <w:p w:rsidR="007A3373" w:rsidRPr="0086696A" w:rsidRDefault="007A3373" w:rsidP="005151CC">
      <w:pPr>
        <w:pStyle w:val="revuetexte"/>
        <w:spacing w:after="60"/>
        <w:ind w:left="170"/>
        <w:jc w:val="both"/>
        <w:rPr>
          <w:rFonts w:ascii="Calibri" w:hAnsi="Calibri"/>
          <w:color w:val="002060"/>
          <w:sz w:val="20"/>
          <w:szCs w:val="20"/>
        </w:rPr>
      </w:pPr>
      <w:r w:rsidRPr="0086696A">
        <w:rPr>
          <w:rStyle w:val="lev"/>
          <w:rFonts w:ascii="Calibri" w:hAnsi="Calibri"/>
          <w:color w:val="002060"/>
          <w:sz w:val="20"/>
          <w:szCs w:val="20"/>
        </w:rPr>
        <w:t xml:space="preserve">Étape 2 : qualifier le litige et lui attribuer un « propriétaire » </w:t>
      </w:r>
    </w:p>
    <w:p w:rsidR="005151CC" w:rsidRDefault="007A3373" w:rsidP="005151CC">
      <w:pPr>
        <w:pStyle w:val="revuetexte"/>
        <w:spacing w:after="60"/>
        <w:ind w:left="170"/>
        <w:jc w:val="both"/>
        <w:rPr>
          <w:rFonts w:ascii="Calibri" w:hAnsi="Calibri"/>
          <w:color w:val="002060"/>
          <w:sz w:val="20"/>
          <w:szCs w:val="20"/>
        </w:rPr>
      </w:pPr>
      <w:r w:rsidRPr="0086696A">
        <w:rPr>
          <w:rFonts w:ascii="Calibri" w:hAnsi="Calibri"/>
          <w:color w:val="002060"/>
          <w:sz w:val="20"/>
          <w:szCs w:val="20"/>
        </w:rPr>
        <w:t>À ce niveau, le système doit pouvoir isoler la créance litigieuse et la sortir du champ des relances amiables (retards de paiement) et de celui du décompte des pénalités de retard. L'entreprise doit éta</w:t>
      </w:r>
      <w:r w:rsidR="005151CC">
        <w:rPr>
          <w:rFonts w:ascii="Calibri" w:hAnsi="Calibri"/>
          <w:color w:val="002060"/>
          <w:sz w:val="20"/>
          <w:szCs w:val="20"/>
        </w:rPr>
        <w:t xml:space="preserve">blir un classement des litiges, par exemple : </w:t>
      </w:r>
    </w:p>
    <w:p w:rsidR="005151CC" w:rsidRDefault="007A3373" w:rsidP="005151CC">
      <w:pPr>
        <w:pStyle w:val="revuetexte"/>
        <w:numPr>
          <w:ilvl w:val="0"/>
          <w:numId w:val="2"/>
        </w:numPr>
        <w:spacing w:after="60"/>
        <w:ind w:left="340" w:hanging="170"/>
        <w:jc w:val="both"/>
        <w:rPr>
          <w:rFonts w:ascii="Calibri" w:hAnsi="Calibri"/>
          <w:color w:val="002060"/>
          <w:sz w:val="20"/>
          <w:szCs w:val="20"/>
        </w:rPr>
      </w:pPr>
      <w:r w:rsidRPr="005151CC">
        <w:rPr>
          <w:rFonts w:ascii="Calibri" w:hAnsi="Calibri"/>
          <w:color w:val="002060"/>
          <w:sz w:val="20"/>
          <w:szCs w:val="20"/>
        </w:rPr>
        <w:t xml:space="preserve">classe 1 « erreurs dans la commande », </w:t>
      </w:r>
    </w:p>
    <w:p w:rsidR="005151CC" w:rsidRDefault="007A3373" w:rsidP="005151CC">
      <w:pPr>
        <w:pStyle w:val="revuetexte"/>
        <w:numPr>
          <w:ilvl w:val="0"/>
          <w:numId w:val="2"/>
        </w:numPr>
        <w:spacing w:after="60"/>
        <w:ind w:left="340" w:hanging="170"/>
        <w:jc w:val="both"/>
        <w:rPr>
          <w:rFonts w:ascii="Calibri" w:hAnsi="Calibri"/>
          <w:color w:val="002060"/>
          <w:sz w:val="20"/>
          <w:szCs w:val="20"/>
        </w:rPr>
      </w:pPr>
      <w:r w:rsidRPr="005151CC">
        <w:rPr>
          <w:rFonts w:ascii="Calibri" w:hAnsi="Calibri"/>
          <w:color w:val="002060"/>
          <w:sz w:val="20"/>
          <w:szCs w:val="20"/>
        </w:rPr>
        <w:t xml:space="preserve">classe 2 « erreurs dans la facturation », </w:t>
      </w:r>
    </w:p>
    <w:p w:rsidR="005151CC" w:rsidRDefault="007A3373" w:rsidP="005151CC">
      <w:pPr>
        <w:pStyle w:val="revuetexte"/>
        <w:numPr>
          <w:ilvl w:val="0"/>
          <w:numId w:val="2"/>
        </w:numPr>
        <w:spacing w:after="60"/>
        <w:ind w:left="340" w:hanging="170"/>
        <w:jc w:val="both"/>
        <w:rPr>
          <w:rFonts w:ascii="Calibri" w:hAnsi="Calibri"/>
          <w:color w:val="002060"/>
          <w:sz w:val="20"/>
          <w:szCs w:val="20"/>
        </w:rPr>
      </w:pPr>
      <w:r w:rsidRPr="005151CC">
        <w:rPr>
          <w:rFonts w:ascii="Calibri" w:hAnsi="Calibri"/>
          <w:color w:val="002060"/>
          <w:sz w:val="20"/>
          <w:szCs w:val="20"/>
        </w:rPr>
        <w:t xml:space="preserve">classe 3 « erreurs dans la logistique...). </w:t>
      </w:r>
    </w:p>
    <w:p w:rsidR="007A3373" w:rsidRPr="005151CC" w:rsidRDefault="007A3373" w:rsidP="005151CC">
      <w:pPr>
        <w:pStyle w:val="revuetexte"/>
        <w:spacing w:after="60"/>
        <w:ind w:left="170"/>
        <w:jc w:val="both"/>
        <w:rPr>
          <w:rFonts w:ascii="Calibri" w:hAnsi="Calibri"/>
          <w:color w:val="002060"/>
          <w:sz w:val="20"/>
          <w:szCs w:val="20"/>
        </w:rPr>
      </w:pPr>
      <w:r w:rsidRPr="005151CC">
        <w:rPr>
          <w:rFonts w:ascii="Calibri" w:hAnsi="Calibri"/>
          <w:color w:val="002060"/>
          <w:sz w:val="20"/>
          <w:szCs w:val="20"/>
        </w:rPr>
        <w:t>Chaque classe se verra attribuer un « responsable » en charge de la résolution des litiges qui y sont rattachés.</w:t>
      </w:r>
    </w:p>
    <w:p w:rsidR="00205314" w:rsidRPr="0086696A" w:rsidRDefault="007A3373" w:rsidP="005151CC">
      <w:pPr>
        <w:pStyle w:val="revuetexte"/>
        <w:spacing w:after="120"/>
        <w:ind w:left="170"/>
        <w:jc w:val="both"/>
        <w:rPr>
          <w:rFonts w:ascii="Calibri" w:hAnsi="Calibri"/>
          <w:color w:val="002060"/>
          <w:sz w:val="20"/>
          <w:szCs w:val="20"/>
        </w:rPr>
      </w:pPr>
      <w:r w:rsidRPr="0086696A">
        <w:rPr>
          <w:rFonts w:ascii="Calibri" w:hAnsi="Calibri"/>
          <w:color w:val="002060"/>
          <w:sz w:val="20"/>
          <w:szCs w:val="20"/>
        </w:rPr>
        <w:t>Il faut cependant veiller à ne pas créer trop de classes de litiges, ou des classes trop imprécises, ce qui rendrait l'imputation complexe.</w:t>
      </w:r>
    </w:p>
    <w:p w:rsidR="007A3373" w:rsidRPr="0086696A" w:rsidRDefault="007A3373" w:rsidP="00B80AB8">
      <w:pPr>
        <w:pStyle w:val="revuetexte"/>
        <w:spacing w:after="60"/>
        <w:ind w:left="170"/>
        <w:jc w:val="both"/>
        <w:rPr>
          <w:rFonts w:ascii="Calibri" w:hAnsi="Calibri"/>
          <w:color w:val="002060"/>
          <w:sz w:val="20"/>
          <w:szCs w:val="20"/>
        </w:rPr>
      </w:pPr>
      <w:r w:rsidRPr="0086696A">
        <w:rPr>
          <w:rStyle w:val="lev"/>
          <w:rFonts w:ascii="Calibri" w:hAnsi="Calibri"/>
          <w:color w:val="002060"/>
          <w:sz w:val="20"/>
          <w:szCs w:val="20"/>
        </w:rPr>
        <w:t xml:space="preserve">Étape 3 : résolution du litige </w:t>
      </w:r>
    </w:p>
    <w:p w:rsidR="007A3373" w:rsidRDefault="00B80AB8" w:rsidP="005151CC">
      <w:pPr>
        <w:pStyle w:val="revuetexte"/>
        <w:spacing w:after="60"/>
        <w:ind w:left="340" w:hanging="170"/>
        <w:jc w:val="both"/>
        <w:rPr>
          <w:rFonts w:ascii="Calibri" w:hAnsi="Calibri"/>
          <w:color w:val="002060"/>
          <w:sz w:val="20"/>
          <w:szCs w:val="20"/>
        </w:rPr>
      </w:pPr>
      <w:r>
        <w:rPr>
          <w:rFonts w:ascii="Calibri" w:hAnsi="Calibri"/>
          <w:color w:val="002060"/>
          <w:sz w:val="20"/>
          <w:szCs w:val="20"/>
        </w:rPr>
        <w:t>2</w:t>
      </w:r>
      <w:r w:rsidR="007A3373" w:rsidRPr="0086696A">
        <w:rPr>
          <w:rFonts w:ascii="Calibri" w:hAnsi="Calibri"/>
          <w:color w:val="002060"/>
          <w:sz w:val="20"/>
          <w:szCs w:val="20"/>
        </w:rPr>
        <w:t xml:space="preserve"> cas de figure apparaissent lors d'un litige.</w:t>
      </w:r>
    </w:p>
    <w:p w:rsidR="00B80AB8" w:rsidRDefault="007A3373" w:rsidP="00B80AB8">
      <w:pPr>
        <w:pStyle w:val="revuetexte"/>
        <w:numPr>
          <w:ilvl w:val="0"/>
          <w:numId w:val="2"/>
        </w:numPr>
        <w:spacing w:after="0"/>
        <w:ind w:left="340" w:hanging="170"/>
        <w:jc w:val="both"/>
        <w:rPr>
          <w:rFonts w:ascii="Calibri" w:hAnsi="Calibri"/>
          <w:color w:val="002060"/>
          <w:sz w:val="20"/>
          <w:szCs w:val="20"/>
        </w:rPr>
      </w:pPr>
      <w:r w:rsidRPr="00B80AB8">
        <w:rPr>
          <w:rStyle w:val="lev"/>
          <w:rFonts w:ascii="Calibri" w:hAnsi="Calibri"/>
          <w:color w:val="002060"/>
          <w:sz w:val="20"/>
          <w:szCs w:val="20"/>
        </w:rPr>
        <w:t>Il est résolu à l'amiable et la relation commerciale continue</w:t>
      </w:r>
      <w:r w:rsidRPr="00B80AB8">
        <w:rPr>
          <w:rFonts w:ascii="Calibri" w:hAnsi="Calibri"/>
          <w:color w:val="002060"/>
          <w:sz w:val="20"/>
          <w:szCs w:val="20"/>
        </w:rPr>
        <w:t xml:space="preserve">. </w:t>
      </w:r>
    </w:p>
    <w:p w:rsidR="00B80AB8" w:rsidRDefault="007A3373" w:rsidP="00B80AB8">
      <w:pPr>
        <w:pStyle w:val="revuetexte"/>
        <w:spacing w:after="60"/>
        <w:ind w:left="340"/>
        <w:jc w:val="both"/>
        <w:rPr>
          <w:rFonts w:ascii="Calibri" w:hAnsi="Calibri"/>
          <w:color w:val="002060"/>
          <w:sz w:val="20"/>
          <w:szCs w:val="20"/>
        </w:rPr>
      </w:pPr>
      <w:r w:rsidRPr="00B80AB8">
        <w:rPr>
          <w:rFonts w:ascii="Calibri" w:hAnsi="Calibri"/>
          <w:color w:val="002060"/>
          <w:sz w:val="20"/>
          <w:szCs w:val="20"/>
        </w:rPr>
        <w:t xml:space="preserve">Le responsable de la classe de litige doit avoir accès à tous les éléments utiles relatifs au dossier du litige (historique, fiche client, documents,...) et doit prendre en charge le litige immédiatement après sa détection grâce à un calendrier et des alertes. </w:t>
      </w:r>
    </w:p>
    <w:p w:rsidR="00B80AB8" w:rsidRDefault="007A3373" w:rsidP="00B80AB8">
      <w:pPr>
        <w:pStyle w:val="revuetexte"/>
        <w:numPr>
          <w:ilvl w:val="0"/>
          <w:numId w:val="2"/>
        </w:numPr>
        <w:spacing w:after="0"/>
        <w:ind w:left="340" w:hanging="170"/>
        <w:jc w:val="both"/>
        <w:rPr>
          <w:rFonts w:ascii="Calibri" w:hAnsi="Calibri"/>
          <w:color w:val="002060"/>
          <w:sz w:val="20"/>
          <w:szCs w:val="20"/>
        </w:rPr>
      </w:pPr>
      <w:r w:rsidRPr="00B80AB8">
        <w:rPr>
          <w:rStyle w:val="lev"/>
          <w:rFonts w:ascii="Calibri" w:hAnsi="Calibri"/>
          <w:color w:val="002060"/>
          <w:sz w:val="20"/>
          <w:szCs w:val="20"/>
        </w:rPr>
        <w:t xml:space="preserve">Il ne peut pas se résoudre et le dossier va au </w:t>
      </w:r>
      <w:r w:rsidR="00B80AB8" w:rsidRPr="00B80AB8">
        <w:rPr>
          <w:rStyle w:val="lev"/>
          <w:rFonts w:ascii="Calibri" w:hAnsi="Calibri"/>
          <w:color w:val="002060"/>
          <w:sz w:val="20"/>
          <w:szCs w:val="20"/>
        </w:rPr>
        <w:t xml:space="preserve">contentieux. </w:t>
      </w:r>
    </w:p>
    <w:p w:rsidR="007A3373" w:rsidRDefault="007A3373" w:rsidP="00B80AB8">
      <w:pPr>
        <w:pStyle w:val="revuetexte"/>
        <w:spacing w:after="120"/>
        <w:ind w:left="340"/>
        <w:jc w:val="both"/>
        <w:rPr>
          <w:rFonts w:ascii="Calibri" w:hAnsi="Calibri"/>
          <w:color w:val="002060"/>
          <w:sz w:val="20"/>
          <w:szCs w:val="20"/>
        </w:rPr>
      </w:pPr>
      <w:r w:rsidRPr="00B80AB8">
        <w:rPr>
          <w:rFonts w:ascii="Calibri" w:hAnsi="Calibri"/>
          <w:color w:val="002060"/>
          <w:sz w:val="20"/>
          <w:szCs w:val="20"/>
        </w:rPr>
        <w:t>Si le responsable n'arrive pas à résoudre le litige, Il doit veiller à ce que le dossier de contentieux soit fourni et justifié par des documents attestant du bon droit de l'entreprise. Plus le dossier sera étayé par des documents factuels, plus rapide sera la résolution et plus grandes les chances d'être payé.</w:t>
      </w:r>
    </w:p>
    <w:p w:rsidR="00DB7C7E" w:rsidRDefault="00DB7C7E" w:rsidP="00B80AB8">
      <w:pPr>
        <w:pStyle w:val="revuetexte"/>
        <w:spacing w:after="60"/>
        <w:ind w:left="170"/>
        <w:jc w:val="both"/>
        <w:rPr>
          <w:rStyle w:val="lev"/>
          <w:rFonts w:ascii="Calibri" w:hAnsi="Calibri"/>
          <w:color w:val="002060"/>
          <w:sz w:val="20"/>
          <w:szCs w:val="20"/>
        </w:rPr>
      </w:pPr>
    </w:p>
    <w:p w:rsidR="00DB7C7E" w:rsidRDefault="00DB7C7E" w:rsidP="00B80AB8">
      <w:pPr>
        <w:pStyle w:val="revuetexte"/>
        <w:spacing w:after="60"/>
        <w:ind w:left="170"/>
        <w:jc w:val="both"/>
        <w:rPr>
          <w:rStyle w:val="lev"/>
          <w:rFonts w:ascii="Calibri" w:hAnsi="Calibri"/>
          <w:color w:val="002060"/>
          <w:sz w:val="20"/>
          <w:szCs w:val="20"/>
        </w:rPr>
      </w:pPr>
    </w:p>
    <w:p w:rsidR="007A3373" w:rsidRPr="0086696A" w:rsidRDefault="007A3373" w:rsidP="00B80AB8">
      <w:pPr>
        <w:pStyle w:val="revuetexte"/>
        <w:spacing w:after="60"/>
        <w:ind w:left="170"/>
        <w:jc w:val="both"/>
        <w:rPr>
          <w:rFonts w:ascii="Calibri" w:hAnsi="Calibri"/>
          <w:color w:val="002060"/>
          <w:sz w:val="20"/>
          <w:szCs w:val="20"/>
        </w:rPr>
      </w:pPr>
      <w:r w:rsidRPr="0086696A">
        <w:rPr>
          <w:rStyle w:val="lev"/>
          <w:rFonts w:ascii="Calibri" w:hAnsi="Calibri"/>
          <w:color w:val="002060"/>
          <w:sz w:val="20"/>
          <w:szCs w:val="20"/>
        </w:rPr>
        <w:lastRenderedPageBreak/>
        <w:t xml:space="preserve">Étape 4 : analyse interne des causes du litige (processus qualité) </w:t>
      </w:r>
    </w:p>
    <w:p w:rsidR="00B80AB8" w:rsidRDefault="007A3373" w:rsidP="00B80AB8">
      <w:pPr>
        <w:pStyle w:val="revuetexte"/>
        <w:spacing w:after="60"/>
        <w:ind w:left="170"/>
        <w:jc w:val="both"/>
        <w:rPr>
          <w:rFonts w:ascii="Calibri" w:hAnsi="Calibri"/>
          <w:color w:val="002060"/>
          <w:sz w:val="20"/>
          <w:szCs w:val="20"/>
        </w:rPr>
      </w:pPr>
      <w:r w:rsidRPr="0086696A">
        <w:rPr>
          <w:rFonts w:ascii="Calibri" w:hAnsi="Calibri"/>
          <w:color w:val="002060"/>
          <w:sz w:val="20"/>
          <w:szCs w:val="20"/>
        </w:rPr>
        <w:t>Si les étapes précédentes ont été mises en place, l'entreprise aura une meilleure visibilité des principales origines des litiges, pourra identifier les points de dysfonctionnement interne et y remédier de manière rapide et efficace.</w:t>
      </w:r>
    </w:p>
    <w:p w:rsidR="007A3373" w:rsidRPr="0086696A" w:rsidRDefault="007A3373" w:rsidP="00B80AB8">
      <w:pPr>
        <w:pStyle w:val="revuetexte"/>
        <w:spacing w:after="120"/>
        <w:ind w:left="170"/>
        <w:jc w:val="both"/>
        <w:rPr>
          <w:rFonts w:ascii="Calibri" w:hAnsi="Calibri"/>
          <w:color w:val="002060"/>
          <w:sz w:val="20"/>
          <w:szCs w:val="20"/>
        </w:rPr>
      </w:pPr>
      <w:r w:rsidRPr="0086696A">
        <w:rPr>
          <w:rFonts w:ascii="Calibri" w:hAnsi="Calibri"/>
          <w:color w:val="002060"/>
          <w:sz w:val="20"/>
          <w:szCs w:val="20"/>
        </w:rPr>
        <w:t xml:space="preserve">Dès que le litige est résolu, il faut rétablir la créance dans les balances âgées et le cours des pénalités de retard doit éventuellement reprendre. </w:t>
      </w:r>
    </w:p>
    <w:p w:rsidR="007A3373" w:rsidRPr="00B80AB8" w:rsidRDefault="00BF0B29" w:rsidP="00B80AB8">
      <w:pPr>
        <w:pStyle w:val="revuesousintertitre"/>
        <w:spacing w:before="0" w:after="60"/>
        <w:ind w:left="0"/>
        <w:jc w:val="both"/>
        <w:rPr>
          <w:rFonts w:ascii="Calibri" w:hAnsi="Calibri"/>
          <w:color w:val="002060"/>
          <w:sz w:val="21"/>
          <w:szCs w:val="21"/>
        </w:rPr>
      </w:pPr>
      <w:r w:rsidRPr="00B80AB8">
        <w:rPr>
          <w:noProof/>
          <w:sz w:val="21"/>
          <w:szCs w:val="21"/>
        </w:rPr>
        <w:drawing>
          <wp:inline distT="0" distB="0" distL="0" distR="0" wp14:anchorId="3C552DA6" wp14:editId="2AC4FE2A">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B80AB8">
        <w:rPr>
          <w:rStyle w:val="revuesousintertitre1"/>
          <w:rFonts w:ascii="Calibri" w:hAnsi="Calibri"/>
          <w:color w:val="002060"/>
          <w:sz w:val="21"/>
          <w:szCs w:val="21"/>
        </w:rPr>
        <w:t xml:space="preserve">Le recouvrement judiciaire </w:t>
      </w:r>
    </w:p>
    <w:p w:rsidR="007A3373" w:rsidRPr="0086696A" w:rsidRDefault="007A3373" w:rsidP="00A36527">
      <w:pPr>
        <w:pStyle w:val="revuetexte"/>
        <w:spacing w:after="60"/>
        <w:ind w:left="170"/>
        <w:jc w:val="both"/>
        <w:rPr>
          <w:rFonts w:ascii="Calibri" w:hAnsi="Calibri"/>
          <w:color w:val="002060"/>
          <w:sz w:val="20"/>
          <w:szCs w:val="20"/>
        </w:rPr>
      </w:pPr>
      <w:r w:rsidRPr="0086696A">
        <w:rPr>
          <w:rFonts w:ascii="Calibri" w:hAnsi="Calibri"/>
          <w:color w:val="002060"/>
          <w:sz w:val="20"/>
          <w:szCs w:val="20"/>
        </w:rPr>
        <w:t>Le recouvrement judiciaire peut être soit traité en interne, soit externalisé. Les entreprises qui souhaitent intégrer les aspects contentieux du recouvrement doivent connaître les différentes procédures et les voies d'exécution.</w:t>
      </w:r>
    </w:p>
    <w:p w:rsidR="007A3373" w:rsidRPr="0086696A" w:rsidRDefault="007A3373" w:rsidP="00A36527">
      <w:pPr>
        <w:pStyle w:val="revuetexte"/>
        <w:spacing w:after="60"/>
        <w:ind w:left="170"/>
        <w:jc w:val="both"/>
        <w:rPr>
          <w:rFonts w:ascii="Calibri" w:hAnsi="Calibri"/>
          <w:color w:val="002060"/>
          <w:sz w:val="20"/>
          <w:szCs w:val="20"/>
        </w:rPr>
      </w:pPr>
      <w:r w:rsidRPr="0086696A">
        <w:rPr>
          <w:rStyle w:val="lev"/>
          <w:rFonts w:ascii="Calibri" w:hAnsi="Calibri"/>
          <w:color w:val="002060"/>
          <w:sz w:val="20"/>
          <w:szCs w:val="20"/>
        </w:rPr>
        <w:t>Le dossier contentieux</w:t>
      </w:r>
      <w:r w:rsidR="00205314" w:rsidRPr="0086696A">
        <w:rPr>
          <w:rStyle w:val="lev"/>
          <w:rFonts w:ascii="Calibri" w:hAnsi="Calibri"/>
          <w:color w:val="002060"/>
          <w:sz w:val="20"/>
          <w:szCs w:val="20"/>
        </w:rPr>
        <w:t> </w:t>
      </w:r>
      <w:r w:rsidR="00205314" w:rsidRPr="0086696A">
        <w:rPr>
          <w:rFonts w:ascii="Calibri" w:hAnsi="Calibri"/>
          <w:color w:val="002060"/>
          <w:sz w:val="20"/>
          <w:szCs w:val="20"/>
        </w:rPr>
        <w:t>: l</w:t>
      </w:r>
      <w:r w:rsidRPr="0086696A">
        <w:rPr>
          <w:rFonts w:ascii="Calibri" w:hAnsi="Calibri"/>
          <w:color w:val="002060"/>
          <w:sz w:val="20"/>
          <w:szCs w:val="20"/>
        </w:rPr>
        <w:t xml:space="preserve">a préparation du dossier contentieux est un élément très important. </w:t>
      </w:r>
    </w:p>
    <w:p w:rsidR="007A3373" w:rsidRPr="0086696A" w:rsidRDefault="007A3373" w:rsidP="00A36527">
      <w:pPr>
        <w:pStyle w:val="revuetexte"/>
        <w:numPr>
          <w:ilvl w:val="0"/>
          <w:numId w:val="2"/>
        </w:numPr>
        <w:spacing w:after="60"/>
        <w:ind w:left="340" w:hanging="170"/>
        <w:jc w:val="both"/>
        <w:rPr>
          <w:rFonts w:ascii="Calibri" w:hAnsi="Calibri"/>
          <w:color w:val="002060"/>
          <w:sz w:val="20"/>
          <w:szCs w:val="20"/>
        </w:rPr>
      </w:pPr>
      <w:r w:rsidRPr="0086696A">
        <w:rPr>
          <w:rStyle w:val="lev"/>
          <w:rFonts w:ascii="Calibri" w:hAnsi="Calibri"/>
          <w:color w:val="002060"/>
          <w:sz w:val="20"/>
          <w:szCs w:val="20"/>
        </w:rPr>
        <w:t xml:space="preserve">Dans le cas d'un recouvrement, </w:t>
      </w:r>
      <w:r w:rsidRPr="0086696A">
        <w:rPr>
          <w:rFonts w:ascii="Calibri" w:hAnsi="Calibri"/>
          <w:color w:val="002060"/>
          <w:sz w:val="20"/>
          <w:szCs w:val="20"/>
        </w:rPr>
        <w:t xml:space="preserve">le dossier doit contenir : </w:t>
      </w:r>
    </w:p>
    <w:p w:rsidR="007A3373" w:rsidRPr="0086696A" w:rsidRDefault="00B80AB8" w:rsidP="00A36527">
      <w:pPr>
        <w:pStyle w:val="revuetexte"/>
        <w:spacing w:after="60"/>
        <w:ind w:left="340"/>
        <w:jc w:val="both"/>
        <w:rPr>
          <w:rFonts w:ascii="Calibri" w:hAnsi="Calibri"/>
          <w:color w:val="002060"/>
          <w:sz w:val="20"/>
          <w:szCs w:val="20"/>
        </w:rPr>
      </w:pPr>
      <w:r w:rsidRPr="006446A5">
        <w:rPr>
          <w:noProof/>
        </w:rPr>
        <w:drawing>
          <wp:inline distT="0" distB="0" distL="0" distR="0">
            <wp:extent cx="114300" cy="95250"/>
            <wp:effectExtent l="0" t="0" r="0" b="0"/>
            <wp:docPr id="35" name="Image 3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Un</w:t>
      </w:r>
      <w:r w:rsidR="007A3373" w:rsidRPr="0086696A">
        <w:rPr>
          <w:rFonts w:ascii="Calibri" w:hAnsi="Calibri"/>
          <w:color w:val="002060"/>
          <w:sz w:val="20"/>
          <w:szCs w:val="20"/>
        </w:rPr>
        <w:t xml:space="preserve"> extrait de compte, certifié sincère et conforme ;</w:t>
      </w:r>
    </w:p>
    <w:p w:rsidR="00B80AB8" w:rsidRDefault="00B80AB8" w:rsidP="00A36527">
      <w:pPr>
        <w:pStyle w:val="revuetexte"/>
        <w:spacing w:after="60"/>
        <w:ind w:left="340"/>
        <w:jc w:val="both"/>
        <w:rPr>
          <w:rFonts w:ascii="Calibri" w:hAnsi="Calibri"/>
          <w:color w:val="002060"/>
          <w:sz w:val="20"/>
          <w:szCs w:val="20"/>
        </w:rPr>
      </w:pPr>
      <w:r w:rsidRPr="006446A5">
        <w:rPr>
          <w:noProof/>
        </w:rPr>
        <w:drawing>
          <wp:inline distT="0" distB="0" distL="0" distR="0">
            <wp:extent cx="114300" cy="95250"/>
            <wp:effectExtent l="0" t="0" r="0" b="0"/>
            <wp:docPr id="36" name="Image 3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La</w:t>
      </w:r>
      <w:r w:rsidR="007A3373" w:rsidRPr="0086696A">
        <w:rPr>
          <w:rFonts w:ascii="Calibri" w:hAnsi="Calibri"/>
          <w:color w:val="002060"/>
          <w:sz w:val="20"/>
          <w:szCs w:val="20"/>
        </w:rPr>
        <w:t xml:space="preserve"> mise en demeure et les relances ;</w:t>
      </w:r>
    </w:p>
    <w:p w:rsidR="00B80AB8" w:rsidRDefault="00DB7C7E" w:rsidP="00A36527">
      <w:pPr>
        <w:pStyle w:val="revuetexte"/>
        <w:spacing w:after="60"/>
        <w:ind w:left="340"/>
        <w:jc w:val="both"/>
        <w:rPr>
          <w:rFonts w:ascii="Calibri" w:hAnsi="Calibri"/>
          <w:color w:val="002060"/>
          <w:sz w:val="20"/>
          <w:szCs w:val="20"/>
        </w:rPr>
      </w:pPr>
      <w:r>
        <w:pict>
          <v:shape id="_x0000_i1032" type="#_x0000_t75" alt="triangle" style="width:9pt;height:7.5pt;visibility:visible;mso-wrap-style:square">
            <v:imagedata r:id="rId7" o:title="triangle"/>
          </v:shape>
        </w:pict>
      </w:r>
      <w:r w:rsidR="00B80AB8" w:rsidRPr="0086696A">
        <w:rPr>
          <w:rFonts w:ascii="Calibri" w:hAnsi="Calibri"/>
          <w:color w:val="002060"/>
          <w:sz w:val="20"/>
          <w:szCs w:val="20"/>
        </w:rPr>
        <w:t>La</w:t>
      </w:r>
      <w:r w:rsidR="007A3373" w:rsidRPr="0086696A">
        <w:rPr>
          <w:rFonts w:ascii="Calibri" w:hAnsi="Calibri"/>
          <w:color w:val="002060"/>
          <w:sz w:val="20"/>
          <w:szCs w:val="20"/>
        </w:rPr>
        <w:t xml:space="preserve"> copie des factures (certifiées) ;</w:t>
      </w:r>
    </w:p>
    <w:p w:rsidR="007A3373" w:rsidRPr="0086696A" w:rsidRDefault="00B80AB8" w:rsidP="00A36527">
      <w:pPr>
        <w:pStyle w:val="revuetexte"/>
        <w:spacing w:after="60"/>
        <w:ind w:left="340"/>
        <w:jc w:val="both"/>
        <w:rPr>
          <w:rFonts w:ascii="Calibri" w:hAnsi="Calibri"/>
          <w:color w:val="002060"/>
          <w:sz w:val="20"/>
          <w:szCs w:val="20"/>
        </w:rPr>
      </w:pPr>
      <w:r w:rsidRPr="006446A5">
        <w:rPr>
          <w:noProof/>
        </w:rPr>
        <w:drawing>
          <wp:inline distT="0" distB="0" distL="0" distR="0">
            <wp:extent cx="114300" cy="95250"/>
            <wp:effectExtent l="0" t="0" r="0" b="0"/>
            <wp:docPr id="34" name="Image 3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La</w:t>
      </w:r>
      <w:r w:rsidR="007A3373" w:rsidRPr="0086696A">
        <w:rPr>
          <w:rFonts w:ascii="Calibri" w:hAnsi="Calibri"/>
          <w:color w:val="002060"/>
          <w:sz w:val="20"/>
          <w:szCs w:val="20"/>
        </w:rPr>
        <w:t xml:space="preserve"> copie des bons de commande et bons de livraison (éventuellement) ;</w:t>
      </w:r>
    </w:p>
    <w:p w:rsidR="007A3373" w:rsidRDefault="00DB7C7E" w:rsidP="00A36527">
      <w:pPr>
        <w:pStyle w:val="revuetexte"/>
        <w:spacing w:after="120"/>
        <w:ind w:left="340"/>
        <w:jc w:val="both"/>
        <w:rPr>
          <w:rFonts w:ascii="Calibri" w:hAnsi="Calibri"/>
          <w:color w:val="002060"/>
          <w:sz w:val="20"/>
          <w:szCs w:val="20"/>
        </w:rPr>
      </w:pPr>
      <w:r>
        <w:pict>
          <v:shape id="_x0000_i1033" type="#_x0000_t75" alt="triangle" style="width:9pt;height:7.5pt;visibility:visible;mso-wrap-style:square">
            <v:imagedata r:id="rId7" o:title="triangle"/>
          </v:shape>
        </w:pict>
      </w:r>
      <w:r w:rsidR="00B80AB8" w:rsidRPr="0086696A">
        <w:rPr>
          <w:rFonts w:ascii="Calibri" w:hAnsi="Calibri"/>
          <w:color w:val="002060"/>
          <w:sz w:val="20"/>
          <w:szCs w:val="20"/>
        </w:rPr>
        <w:t>Les</w:t>
      </w:r>
      <w:r w:rsidR="007A3373" w:rsidRPr="0086696A">
        <w:rPr>
          <w:rFonts w:ascii="Calibri" w:hAnsi="Calibri"/>
          <w:color w:val="002060"/>
          <w:sz w:val="20"/>
          <w:szCs w:val="20"/>
        </w:rPr>
        <w:t xml:space="preserve"> conditions générales de vente (CGV) ou le contrat.</w:t>
      </w:r>
    </w:p>
    <w:p w:rsidR="007A3373" w:rsidRPr="00B80AB8" w:rsidRDefault="007A3373" w:rsidP="00A36527">
      <w:pPr>
        <w:pStyle w:val="revuetexte"/>
        <w:numPr>
          <w:ilvl w:val="0"/>
          <w:numId w:val="2"/>
        </w:numPr>
        <w:spacing w:after="60"/>
        <w:ind w:left="340" w:hanging="170"/>
        <w:jc w:val="both"/>
        <w:rPr>
          <w:rFonts w:ascii="Calibri" w:hAnsi="Calibri"/>
          <w:color w:val="002060"/>
          <w:sz w:val="20"/>
          <w:szCs w:val="20"/>
        </w:rPr>
      </w:pPr>
      <w:r w:rsidRPr="00B80AB8">
        <w:rPr>
          <w:rStyle w:val="lev"/>
          <w:rFonts w:ascii="Calibri" w:hAnsi="Calibri"/>
          <w:color w:val="002060"/>
          <w:sz w:val="20"/>
          <w:szCs w:val="20"/>
        </w:rPr>
        <w:t xml:space="preserve">Au cas où il y a de surcroît un litige, </w:t>
      </w:r>
      <w:r w:rsidRPr="00B80AB8">
        <w:rPr>
          <w:rFonts w:ascii="Calibri" w:hAnsi="Calibri"/>
          <w:color w:val="002060"/>
          <w:sz w:val="20"/>
          <w:szCs w:val="20"/>
        </w:rPr>
        <w:t>il faut ajouter :</w:t>
      </w:r>
    </w:p>
    <w:p w:rsidR="007A3373" w:rsidRPr="0086696A" w:rsidRDefault="00B80AB8" w:rsidP="00A36527">
      <w:pPr>
        <w:pStyle w:val="revuetexte"/>
        <w:spacing w:after="60"/>
        <w:ind w:left="340"/>
        <w:jc w:val="both"/>
        <w:rPr>
          <w:rFonts w:ascii="Calibri" w:hAnsi="Calibri"/>
          <w:color w:val="002060"/>
          <w:sz w:val="20"/>
          <w:szCs w:val="20"/>
        </w:rPr>
      </w:pPr>
      <w:r w:rsidRPr="006446A5">
        <w:rPr>
          <w:noProof/>
        </w:rPr>
        <w:drawing>
          <wp:inline distT="0" distB="0" distL="0" distR="0">
            <wp:extent cx="114300" cy="95250"/>
            <wp:effectExtent l="0" t="0" r="0" b="0"/>
            <wp:docPr id="38" name="Image 3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L’exposé</w:t>
      </w:r>
      <w:r w:rsidR="007A3373" w:rsidRPr="0086696A">
        <w:rPr>
          <w:rFonts w:ascii="Calibri" w:hAnsi="Calibri"/>
          <w:color w:val="002060"/>
          <w:sz w:val="20"/>
          <w:szCs w:val="20"/>
        </w:rPr>
        <w:t xml:space="preserve"> des faits et des arguments ;</w:t>
      </w:r>
    </w:p>
    <w:p w:rsidR="007A3373" w:rsidRDefault="00DB7C7E" w:rsidP="00A36527">
      <w:pPr>
        <w:pStyle w:val="revuetexte"/>
        <w:spacing w:after="120"/>
        <w:ind w:left="340"/>
        <w:jc w:val="both"/>
        <w:rPr>
          <w:rFonts w:ascii="Calibri" w:hAnsi="Calibri"/>
          <w:color w:val="002060"/>
          <w:sz w:val="20"/>
          <w:szCs w:val="20"/>
        </w:rPr>
      </w:pPr>
      <w:r>
        <w:pict>
          <v:shape id="_x0000_i1034" type="#_x0000_t75" alt="triangle" style="width:9pt;height:7.5pt;visibility:visible;mso-wrap-style:square" o:bullet="t">
            <v:imagedata r:id="rId7" o:title="triangle"/>
          </v:shape>
        </w:pict>
      </w:r>
      <w:r w:rsidR="00B80AB8" w:rsidRPr="0086696A">
        <w:rPr>
          <w:rFonts w:ascii="Calibri" w:hAnsi="Calibri"/>
          <w:color w:val="002060"/>
          <w:sz w:val="20"/>
          <w:szCs w:val="20"/>
        </w:rPr>
        <w:t>La</w:t>
      </w:r>
      <w:r w:rsidR="007A3373" w:rsidRPr="0086696A">
        <w:rPr>
          <w:rFonts w:ascii="Calibri" w:hAnsi="Calibri"/>
          <w:color w:val="002060"/>
          <w:sz w:val="20"/>
          <w:szCs w:val="20"/>
        </w:rPr>
        <w:t xml:space="preserve"> copie des différents courriers.</w:t>
      </w:r>
    </w:p>
    <w:p w:rsidR="007A3373" w:rsidRPr="00B80AB8" w:rsidRDefault="007A3373" w:rsidP="00A36527">
      <w:pPr>
        <w:pStyle w:val="revuetexte"/>
        <w:numPr>
          <w:ilvl w:val="0"/>
          <w:numId w:val="2"/>
        </w:numPr>
        <w:spacing w:after="60"/>
        <w:ind w:left="340" w:hanging="170"/>
        <w:jc w:val="both"/>
        <w:rPr>
          <w:rFonts w:ascii="Calibri" w:hAnsi="Calibri"/>
          <w:color w:val="002060"/>
          <w:sz w:val="20"/>
          <w:szCs w:val="20"/>
        </w:rPr>
      </w:pPr>
      <w:r w:rsidRPr="00B80AB8">
        <w:rPr>
          <w:rStyle w:val="lev"/>
          <w:rFonts w:ascii="Calibri" w:hAnsi="Calibri"/>
          <w:color w:val="002060"/>
          <w:sz w:val="20"/>
          <w:szCs w:val="20"/>
        </w:rPr>
        <w:t xml:space="preserve">Le décompte </w:t>
      </w:r>
    </w:p>
    <w:p w:rsidR="007A3373" w:rsidRPr="0086696A" w:rsidRDefault="00B80AB8" w:rsidP="00A36527">
      <w:pPr>
        <w:pStyle w:val="revuetexte"/>
        <w:spacing w:after="60"/>
        <w:ind w:left="340"/>
        <w:jc w:val="both"/>
        <w:rPr>
          <w:rFonts w:ascii="Calibri" w:hAnsi="Calibri"/>
          <w:color w:val="002060"/>
          <w:sz w:val="20"/>
          <w:szCs w:val="20"/>
        </w:rPr>
      </w:pPr>
      <w:r>
        <w:rPr>
          <w:rFonts w:ascii="Calibri" w:hAnsi="Calibri"/>
          <w:color w:val="002060"/>
          <w:sz w:val="20"/>
          <w:szCs w:val="20"/>
        </w:rPr>
        <w:t xml:space="preserve">Dans ce décompte, </w:t>
      </w:r>
      <w:r w:rsidR="007A3373" w:rsidRPr="0086696A">
        <w:rPr>
          <w:rFonts w:ascii="Calibri" w:hAnsi="Calibri"/>
          <w:color w:val="002060"/>
          <w:sz w:val="20"/>
          <w:szCs w:val="20"/>
        </w:rPr>
        <w:t>il faut penser à réclamer</w:t>
      </w:r>
      <w:r>
        <w:rPr>
          <w:rFonts w:ascii="Calibri" w:hAnsi="Calibri"/>
          <w:color w:val="002060"/>
          <w:sz w:val="20"/>
          <w:szCs w:val="20"/>
        </w:rPr>
        <w:t xml:space="preserve"> </w:t>
      </w:r>
      <w:r w:rsidR="007A3373" w:rsidRPr="0086696A">
        <w:rPr>
          <w:rFonts w:ascii="Calibri" w:hAnsi="Calibri"/>
          <w:color w:val="002060"/>
          <w:sz w:val="20"/>
          <w:szCs w:val="20"/>
        </w:rPr>
        <w:t>:</w:t>
      </w:r>
    </w:p>
    <w:p w:rsidR="007A3373" w:rsidRPr="0086696A" w:rsidRDefault="00A36527" w:rsidP="00A36527">
      <w:pPr>
        <w:pStyle w:val="revuetexte"/>
        <w:spacing w:after="60"/>
        <w:ind w:left="340"/>
        <w:jc w:val="both"/>
        <w:rPr>
          <w:rFonts w:ascii="Calibri" w:hAnsi="Calibri"/>
          <w:color w:val="002060"/>
          <w:sz w:val="20"/>
          <w:szCs w:val="20"/>
        </w:rPr>
      </w:pPr>
      <w:r w:rsidRPr="006446A5">
        <w:rPr>
          <w:noProof/>
        </w:rPr>
        <w:drawing>
          <wp:inline distT="0" distB="0" distL="0" distR="0" wp14:anchorId="3DAF745C" wp14:editId="0F0FCB4F">
            <wp:extent cx="114300" cy="95250"/>
            <wp:effectExtent l="0" t="0" r="0" b="0"/>
            <wp:docPr id="40" name="Image 4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Les</w:t>
      </w:r>
      <w:r w:rsidR="007A3373" w:rsidRPr="0086696A">
        <w:rPr>
          <w:rFonts w:ascii="Calibri" w:hAnsi="Calibri"/>
          <w:color w:val="002060"/>
          <w:sz w:val="20"/>
          <w:szCs w:val="20"/>
        </w:rPr>
        <w:t xml:space="preserve"> pénalités de retard arrêtées à la date de la mise en demeure ;</w:t>
      </w:r>
    </w:p>
    <w:p w:rsidR="007A3373" w:rsidRPr="0086696A" w:rsidRDefault="00A36527" w:rsidP="00A36527">
      <w:pPr>
        <w:pStyle w:val="revuetexte"/>
        <w:spacing w:after="60"/>
        <w:ind w:left="340"/>
        <w:jc w:val="both"/>
        <w:rPr>
          <w:rFonts w:ascii="Calibri" w:hAnsi="Calibri"/>
          <w:color w:val="002060"/>
          <w:sz w:val="20"/>
          <w:szCs w:val="20"/>
        </w:rPr>
      </w:pPr>
      <w:r w:rsidRPr="006446A5">
        <w:rPr>
          <w:noProof/>
        </w:rPr>
        <w:drawing>
          <wp:inline distT="0" distB="0" distL="0" distR="0" wp14:anchorId="3DAF745C" wp14:editId="0F0FCB4F">
            <wp:extent cx="114300" cy="95250"/>
            <wp:effectExtent l="0" t="0" r="0" b="0"/>
            <wp:docPr id="41" name="Image 4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La</w:t>
      </w:r>
      <w:r w:rsidR="007A3373" w:rsidRPr="0086696A">
        <w:rPr>
          <w:rFonts w:ascii="Calibri" w:hAnsi="Calibri"/>
          <w:color w:val="002060"/>
          <w:sz w:val="20"/>
          <w:szCs w:val="20"/>
        </w:rPr>
        <w:t xml:space="preserve"> clause pénale, si elle a été acceptée par le client (CGV signées par le client) ;</w:t>
      </w:r>
    </w:p>
    <w:p w:rsidR="007A3373" w:rsidRPr="0086696A" w:rsidRDefault="00A36527" w:rsidP="00A36527">
      <w:pPr>
        <w:pStyle w:val="revuetexte"/>
        <w:spacing w:after="60"/>
        <w:ind w:left="340"/>
        <w:jc w:val="both"/>
        <w:rPr>
          <w:rFonts w:ascii="Calibri" w:hAnsi="Calibri"/>
          <w:color w:val="002060"/>
          <w:sz w:val="20"/>
          <w:szCs w:val="20"/>
        </w:rPr>
      </w:pPr>
      <w:r w:rsidRPr="006446A5">
        <w:rPr>
          <w:noProof/>
        </w:rPr>
        <w:drawing>
          <wp:inline distT="0" distB="0" distL="0" distR="0" wp14:anchorId="3DAF745C" wp14:editId="0F0FCB4F">
            <wp:extent cx="114300" cy="95250"/>
            <wp:effectExtent l="0" t="0" r="0" b="0"/>
            <wp:docPr id="42" name="Image 4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696A">
        <w:rPr>
          <w:rFonts w:ascii="Calibri" w:hAnsi="Calibri"/>
          <w:color w:val="002060"/>
          <w:sz w:val="20"/>
          <w:szCs w:val="20"/>
        </w:rPr>
        <w:t>Les</w:t>
      </w:r>
      <w:r w:rsidR="007A3373" w:rsidRPr="0086696A">
        <w:rPr>
          <w:rFonts w:ascii="Calibri" w:hAnsi="Calibri"/>
          <w:color w:val="002060"/>
          <w:sz w:val="20"/>
          <w:szCs w:val="20"/>
        </w:rPr>
        <w:t xml:space="preserve"> frais accessoires ;</w:t>
      </w:r>
    </w:p>
    <w:p w:rsidR="00A36527" w:rsidRDefault="00DB7C7E" w:rsidP="00A36527">
      <w:pPr>
        <w:pStyle w:val="revuetexte"/>
        <w:spacing w:after="120"/>
        <w:ind w:left="340"/>
        <w:jc w:val="both"/>
        <w:rPr>
          <w:rFonts w:ascii="Calibri" w:hAnsi="Calibri"/>
          <w:color w:val="002060"/>
          <w:sz w:val="20"/>
          <w:szCs w:val="20"/>
        </w:rPr>
      </w:pPr>
      <w:r>
        <w:pict>
          <v:shape id="_x0000_i1035" type="#_x0000_t75" alt="triangle" style="width:9pt;height:7.5pt;visibility:visible;mso-wrap-style:square" o:bullet="t">
            <v:imagedata r:id="rId7" o:title="triangle"/>
          </v:shape>
        </w:pict>
      </w:r>
      <w:r w:rsidR="00A36527" w:rsidRPr="0086696A">
        <w:rPr>
          <w:rFonts w:ascii="Calibri" w:hAnsi="Calibri"/>
          <w:color w:val="002060"/>
          <w:sz w:val="20"/>
          <w:szCs w:val="20"/>
        </w:rPr>
        <w:t>Les</w:t>
      </w:r>
      <w:r w:rsidR="007A3373" w:rsidRPr="0086696A">
        <w:rPr>
          <w:rFonts w:ascii="Calibri" w:hAnsi="Calibri"/>
          <w:color w:val="002060"/>
          <w:sz w:val="20"/>
          <w:szCs w:val="20"/>
        </w:rPr>
        <w:t xml:space="preserve"> dépens (c. proc. civ. art. 700).</w:t>
      </w:r>
    </w:p>
    <w:tbl>
      <w:tblPr>
        <w:tblStyle w:val="Grilledutableau"/>
        <w:tblW w:w="0" w:type="auto"/>
        <w:tblInd w:w="170" w:type="dxa"/>
        <w:shd w:val="clear" w:color="auto" w:fill="F2F2F2" w:themeFill="background1" w:themeFillShade="F2"/>
        <w:tblLook w:val="04A0" w:firstRow="1" w:lastRow="0" w:firstColumn="1" w:lastColumn="0" w:noHBand="0" w:noVBand="1"/>
      </w:tblPr>
      <w:tblGrid>
        <w:gridCol w:w="10024"/>
      </w:tblGrid>
      <w:tr w:rsidR="00A36527" w:rsidTr="00A36527">
        <w:tc>
          <w:tcPr>
            <w:tcW w:w="10194" w:type="dxa"/>
            <w:shd w:val="clear" w:color="auto" w:fill="F2F2F2" w:themeFill="background1" w:themeFillShade="F2"/>
          </w:tcPr>
          <w:p w:rsidR="00A36527" w:rsidRDefault="00A36527" w:rsidP="00A36527">
            <w:pPr>
              <w:pStyle w:val="revuetexte"/>
              <w:spacing w:before="60" w:after="60"/>
              <w:ind w:left="170" w:right="170"/>
              <w:jc w:val="both"/>
              <w:rPr>
                <w:rFonts w:ascii="Calibri" w:hAnsi="Calibri"/>
                <w:color w:val="002060"/>
                <w:sz w:val="20"/>
                <w:szCs w:val="20"/>
              </w:rPr>
            </w:pPr>
            <w:r w:rsidRPr="0086696A">
              <w:rPr>
                <w:rFonts w:ascii="Calibri" w:hAnsi="Calibri"/>
                <w:color w:val="002060"/>
                <w:sz w:val="20"/>
                <w:szCs w:val="20"/>
              </w:rPr>
              <w:t>Le recouvrement judiciaire nécessite beaucoup de pièces justificatives à identifier et à collecter rapidement. Les procédures de classement et d'archivage doivent être rigoureuses. Le recours au dossier virtuel par la numérisation de l'ensemble des documents et la traçabilité informatique des événements apportent beaucoup de confort.</w:t>
            </w:r>
          </w:p>
        </w:tc>
      </w:tr>
    </w:tbl>
    <w:p w:rsidR="00A36527" w:rsidRDefault="00A36527" w:rsidP="00A36527">
      <w:pPr>
        <w:pStyle w:val="revuetexte"/>
        <w:spacing w:after="0"/>
        <w:ind w:left="170"/>
        <w:jc w:val="both"/>
        <w:rPr>
          <w:rFonts w:ascii="Calibri" w:hAnsi="Calibri"/>
          <w:color w:val="002060"/>
          <w:sz w:val="20"/>
          <w:szCs w:val="20"/>
        </w:rPr>
      </w:pPr>
    </w:p>
    <w:p w:rsidR="007A3373" w:rsidRDefault="00DB7C7E" w:rsidP="00A36527">
      <w:pPr>
        <w:pStyle w:val="revuetexte"/>
        <w:spacing w:after="120"/>
        <w:ind w:left="0"/>
        <w:jc w:val="both"/>
        <w:rPr>
          <w:rStyle w:val="lev"/>
          <w:rFonts w:ascii="Calibri" w:hAnsi="Calibri"/>
          <w:color w:val="002060"/>
          <w:sz w:val="21"/>
          <w:szCs w:val="21"/>
        </w:rPr>
      </w:pPr>
      <w:r>
        <w:pict>
          <v:shape id="_x0000_i1036" type="#_x0000_t75" alt="triangle" style="width:9pt;height:7.5pt;visibility:visible;mso-wrap-style:square">
            <v:imagedata r:id="rId7" o:title="triangle"/>
          </v:shape>
        </w:pict>
      </w:r>
      <w:r w:rsidR="007A3373" w:rsidRPr="00A36527">
        <w:rPr>
          <w:rStyle w:val="lev"/>
          <w:rFonts w:ascii="Calibri" w:hAnsi="Calibri"/>
          <w:color w:val="002060"/>
          <w:sz w:val="21"/>
          <w:szCs w:val="21"/>
        </w:rPr>
        <w:t xml:space="preserve">Rappel des voies d'exécution les plus connues </w:t>
      </w:r>
    </w:p>
    <w:p w:rsidR="007A3373" w:rsidRPr="00A36527" w:rsidRDefault="007A3373" w:rsidP="00A36527">
      <w:pPr>
        <w:pStyle w:val="revuetexte"/>
        <w:numPr>
          <w:ilvl w:val="0"/>
          <w:numId w:val="2"/>
        </w:numPr>
        <w:spacing w:after="60"/>
        <w:ind w:left="340" w:hanging="170"/>
        <w:jc w:val="both"/>
        <w:rPr>
          <w:rFonts w:ascii="Calibri" w:hAnsi="Calibri"/>
          <w:color w:val="002060"/>
          <w:sz w:val="20"/>
          <w:szCs w:val="20"/>
        </w:rPr>
      </w:pPr>
      <w:r w:rsidRPr="00A36527">
        <w:rPr>
          <w:rStyle w:val="lev"/>
          <w:rFonts w:ascii="Calibri" w:hAnsi="Calibri"/>
          <w:color w:val="002060"/>
          <w:sz w:val="20"/>
          <w:szCs w:val="20"/>
        </w:rPr>
        <w:t xml:space="preserve">La saisie-attribution </w:t>
      </w:r>
      <w:r w:rsidRPr="00A36527">
        <w:rPr>
          <w:rFonts w:ascii="Calibri" w:hAnsi="Calibri"/>
          <w:color w:val="002060"/>
          <w:sz w:val="20"/>
          <w:szCs w:val="20"/>
        </w:rPr>
        <w:t>peut se résumer ainsi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les trois acteurs qui sont le créancier, le débiteur du débiteur, le débiteur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adaptée pour toutes les sommes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créance saisie : existence et disponibilité, solde d'un compte bancaire ;</w:t>
      </w:r>
    </w:p>
    <w:p w:rsidR="007A3373"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effet immédiat.</w:t>
      </w:r>
    </w:p>
    <w:p w:rsidR="007A3373" w:rsidRPr="00A36527" w:rsidRDefault="007A3373" w:rsidP="00A36527">
      <w:pPr>
        <w:pStyle w:val="revuetexte"/>
        <w:numPr>
          <w:ilvl w:val="0"/>
          <w:numId w:val="2"/>
        </w:numPr>
        <w:spacing w:after="60"/>
        <w:ind w:left="340" w:hanging="170"/>
        <w:jc w:val="both"/>
        <w:rPr>
          <w:rFonts w:ascii="Calibri" w:hAnsi="Calibri"/>
          <w:color w:val="002060"/>
          <w:sz w:val="20"/>
          <w:szCs w:val="20"/>
        </w:rPr>
      </w:pPr>
      <w:r w:rsidRPr="00A36527">
        <w:rPr>
          <w:rStyle w:val="lev"/>
          <w:rFonts w:ascii="Calibri" w:hAnsi="Calibri"/>
          <w:color w:val="002060"/>
          <w:sz w:val="20"/>
          <w:szCs w:val="20"/>
        </w:rPr>
        <w:t>Pour la saisie-vente des meubles corporels</w:t>
      </w:r>
      <w:r w:rsidRPr="00A36527">
        <w:rPr>
          <w:rFonts w:ascii="Calibri" w:hAnsi="Calibri"/>
          <w:color w:val="002060"/>
          <w:sz w:val="20"/>
          <w:szCs w:val="20"/>
        </w:rPr>
        <w:t>, les avantages sont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moindre coût et non-intervention du juge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moyen de pression.</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En revanche, certains inconvénients sont à prendre en compte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- 8 jours minimum entre le commandement de payer et la saisie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produit aléatoire de la vente, et frais occasionnés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limitation des biens saisissables ;</w:t>
      </w:r>
    </w:p>
    <w:p w:rsidR="007A3373" w:rsidRDefault="007A3373" w:rsidP="00A36527">
      <w:pPr>
        <w:pStyle w:val="revuetexte"/>
        <w:spacing w:after="120"/>
        <w:ind w:left="340"/>
        <w:jc w:val="both"/>
        <w:rPr>
          <w:rFonts w:ascii="Calibri" w:hAnsi="Calibri"/>
          <w:color w:val="002060"/>
          <w:sz w:val="20"/>
          <w:szCs w:val="20"/>
        </w:rPr>
      </w:pPr>
      <w:r w:rsidRPr="0086696A">
        <w:rPr>
          <w:rFonts w:ascii="Calibri" w:hAnsi="Calibri"/>
          <w:color w:val="002060"/>
          <w:sz w:val="20"/>
          <w:szCs w:val="20"/>
        </w:rPr>
        <w:t>- possible proposition de vente amiable sous un mois.</w:t>
      </w:r>
    </w:p>
    <w:p w:rsidR="007A3373" w:rsidRPr="00A36527" w:rsidRDefault="007A3373" w:rsidP="00A36527">
      <w:pPr>
        <w:pStyle w:val="revuetexte"/>
        <w:numPr>
          <w:ilvl w:val="0"/>
          <w:numId w:val="2"/>
        </w:numPr>
        <w:spacing w:after="60"/>
        <w:ind w:left="340" w:hanging="170"/>
        <w:jc w:val="both"/>
        <w:rPr>
          <w:rFonts w:ascii="Calibri" w:hAnsi="Calibri"/>
          <w:color w:val="002060"/>
          <w:sz w:val="20"/>
          <w:szCs w:val="20"/>
        </w:rPr>
      </w:pPr>
      <w:r w:rsidRPr="00A36527">
        <w:rPr>
          <w:rStyle w:val="lev"/>
          <w:rFonts w:ascii="Calibri" w:hAnsi="Calibri"/>
          <w:color w:val="002060"/>
          <w:sz w:val="20"/>
          <w:szCs w:val="20"/>
        </w:rPr>
        <w:t xml:space="preserve">La saisie immobilière </w:t>
      </w:r>
      <w:r w:rsidRPr="00A36527">
        <w:rPr>
          <w:rFonts w:ascii="Calibri" w:hAnsi="Calibri"/>
          <w:color w:val="002060"/>
          <w:sz w:val="20"/>
          <w:szCs w:val="20"/>
        </w:rPr>
        <w:t>se caractérise de la façon suivante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bien saisi à identifier : un immeuble du débiteur ;</w:t>
      </w:r>
    </w:p>
    <w:p w:rsidR="007A3373" w:rsidRPr="0086696A"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vente amiable ou aux enchères de l'immeuble saisi ;</w:t>
      </w:r>
    </w:p>
    <w:p w:rsidR="007A3373" w:rsidRDefault="007A3373" w:rsidP="00A36527">
      <w:pPr>
        <w:pStyle w:val="revuetexte"/>
        <w:spacing w:after="60"/>
        <w:ind w:left="340"/>
        <w:jc w:val="both"/>
        <w:rPr>
          <w:rFonts w:ascii="Calibri" w:hAnsi="Calibri"/>
          <w:color w:val="002060"/>
          <w:sz w:val="20"/>
          <w:szCs w:val="20"/>
        </w:rPr>
      </w:pPr>
      <w:r w:rsidRPr="0086696A">
        <w:rPr>
          <w:rFonts w:ascii="Calibri" w:hAnsi="Calibri"/>
          <w:color w:val="002060"/>
          <w:sz w:val="20"/>
          <w:szCs w:val="20"/>
        </w:rPr>
        <w:t>- procédure complexe et longue (délais).</w:t>
      </w:r>
    </w:p>
    <w:p w:rsidR="007A3373" w:rsidRPr="00A36527" w:rsidRDefault="007A3373" w:rsidP="00A36527">
      <w:pPr>
        <w:pStyle w:val="revuetexte"/>
        <w:numPr>
          <w:ilvl w:val="0"/>
          <w:numId w:val="2"/>
        </w:numPr>
        <w:spacing w:after="100" w:afterAutospacing="1"/>
        <w:ind w:left="340" w:hanging="170"/>
        <w:jc w:val="both"/>
        <w:rPr>
          <w:rFonts w:ascii="Calibri" w:hAnsi="Calibri"/>
          <w:color w:val="002060"/>
          <w:sz w:val="20"/>
          <w:szCs w:val="20"/>
        </w:rPr>
      </w:pPr>
      <w:r w:rsidRPr="00A36527">
        <w:rPr>
          <w:rStyle w:val="lev"/>
          <w:rFonts w:ascii="Calibri" w:hAnsi="Calibri"/>
          <w:color w:val="002060"/>
          <w:sz w:val="20"/>
          <w:szCs w:val="20"/>
        </w:rPr>
        <w:t xml:space="preserve">S'agissant du traitement des entreprises en difficulté, </w:t>
      </w:r>
      <w:r w:rsidRPr="00A36527">
        <w:rPr>
          <w:rFonts w:ascii="Calibri" w:hAnsi="Calibri"/>
          <w:color w:val="002060"/>
          <w:sz w:val="20"/>
          <w:szCs w:val="20"/>
        </w:rPr>
        <w:t>les procédures collectives et la sauvegarde sont régies par des règles particulières à b</w:t>
      </w:r>
      <w:r w:rsidR="0034171E">
        <w:rPr>
          <w:rFonts w:ascii="Calibri" w:hAnsi="Calibri"/>
          <w:color w:val="002060"/>
          <w:sz w:val="20"/>
          <w:szCs w:val="20"/>
        </w:rPr>
        <w:t>ien</w:t>
      </w:r>
      <w:r w:rsidRPr="00A36527">
        <w:rPr>
          <w:rFonts w:ascii="Calibri" w:hAnsi="Calibri"/>
          <w:color w:val="002060"/>
          <w:sz w:val="20"/>
          <w:szCs w:val="20"/>
        </w:rPr>
        <w:t xml:space="preserve"> maîtriser afin d'espérer faire valoir ses droits de créancier (comités de crédit, plan de continuation, rôles des différents acteurs de la procédure...). Notamment, il faut veiller à produire la créance dans les délais prévus.</w:t>
      </w:r>
    </w:p>
    <w:p w:rsidR="007A3373" w:rsidRPr="00DB7C7E" w:rsidRDefault="00A36527" w:rsidP="00D93C2C">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lastRenderedPageBreak/>
        <w:t>Les solutions de financement extérieures</w:t>
      </w:r>
      <w:r w:rsidR="007A3373" w:rsidRPr="00DB7C7E">
        <w:rPr>
          <w:rFonts w:ascii="Calibri" w:hAnsi="Calibri"/>
          <w:color w:val="002060"/>
          <w:sz w:val="24"/>
          <w:szCs w:val="26"/>
        </w:rPr>
        <w:t xml:space="preserve"> </w:t>
      </w:r>
    </w:p>
    <w:p w:rsidR="007A3373" w:rsidRPr="00DB7C7E" w:rsidRDefault="007A3373" w:rsidP="00205314">
      <w:pPr>
        <w:pStyle w:val="revuesousintertitre"/>
        <w:spacing w:before="0" w:after="60"/>
        <w:ind w:left="0"/>
        <w:jc w:val="both"/>
        <w:rPr>
          <w:rFonts w:ascii="Calibri" w:hAnsi="Calibri"/>
          <w:color w:val="002060"/>
          <w:sz w:val="21"/>
          <w:szCs w:val="21"/>
        </w:rPr>
      </w:pPr>
      <w:r w:rsidRPr="00DB7C7E">
        <w:rPr>
          <w:rStyle w:val="revuesousintertitre1"/>
          <w:rFonts w:ascii="Calibri" w:hAnsi="Calibri"/>
          <w:color w:val="002060"/>
          <w:sz w:val="21"/>
          <w:szCs w:val="21"/>
        </w:rPr>
        <w:t xml:space="preserve">L'affacturage </w:t>
      </w:r>
    </w:p>
    <w:p w:rsidR="007A3373" w:rsidRPr="0086696A" w:rsidRDefault="007A3373" w:rsidP="00205314">
      <w:pPr>
        <w:pStyle w:val="revuetexte"/>
        <w:spacing w:after="60"/>
        <w:ind w:left="0"/>
        <w:jc w:val="both"/>
        <w:rPr>
          <w:rFonts w:ascii="Calibri" w:hAnsi="Calibri"/>
          <w:color w:val="002060"/>
          <w:sz w:val="20"/>
          <w:szCs w:val="20"/>
        </w:rPr>
      </w:pPr>
      <w:r w:rsidRPr="0086696A">
        <w:rPr>
          <w:rStyle w:val="lev"/>
          <w:rFonts w:ascii="Calibri" w:hAnsi="Calibri"/>
          <w:color w:val="002060"/>
          <w:sz w:val="20"/>
          <w:szCs w:val="20"/>
        </w:rPr>
        <w:t xml:space="preserve">Que recouvre l'affacturage ? </w:t>
      </w:r>
    </w:p>
    <w:p w:rsidR="007A3373" w:rsidRPr="0086696A" w:rsidRDefault="00A36527" w:rsidP="005E47FF">
      <w:pPr>
        <w:pStyle w:val="revuetexte"/>
        <w:spacing w:after="60"/>
        <w:ind w:left="170" w:hanging="170"/>
        <w:jc w:val="both"/>
        <w:rPr>
          <w:rFonts w:ascii="Calibri" w:hAnsi="Calibri"/>
          <w:color w:val="002060"/>
          <w:sz w:val="20"/>
          <w:szCs w:val="20"/>
        </w:rPr>
      </w:pPr>
      <w:r w:rsidRPr="006446A5">
        <w:rPr>
          <w:noProof/>
        </w:rPr>
        <w:drawing>
          <wp:inline distT="0" distB="0" distL="0" distR="0">
            <wp:extent cx="114300" cy="95250"/>
            <wp:effectExtent l="0" t="0" r="0" b="0"/>
            <wp:docPr id="45" name="Image 4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L'affacturage est un contrat par lequel un organisme spécialisé (factor) acquiert les créances de son client </w:t>
      </w:r>
      <w:r w:rsidR="007A3373" w:rsidRPr="0086696A">
        <w:rPr>
          <w:rFonts w:ascii="Calibri" w:hAnsi="Calibri"/>
          <w:color w:val="002060"/>
          <w:sz w:val="20"/>
          <w:szCs w:val="20"/>
        </w:rPr>
        <w:t>(adhérent) par subrogation. Le factor peut alors gérer les comptes clients de l'entreprise, en assurant le recouvrement à son propre compte et en supportant éventuellement les pertes relatives aux débiteurs insolvables. Le factor perçoit une commission sur le montant des factures.</w:t>
      </w:r>
    </w:p>
    <w:p w:rsidR="007A3373" w:rsidRPr="0086696A" w:rsidRDefault="00A36527" w:rsidP="005E47FF">
      <w:pPr>
        <w:pStyle w:val="revuetexte"/>
        <w:spacing w:after="60"/>
        <w:ind w:left="170" w:hanging="170"/>
        <w:jc w:val="both"/>
        <w:rPr>
          <w:rFonts w:ascii="Calibri" w:hAnsi="Calibri"/>
          <w:color w:val="002060"/>
          <w:sz w:val="20"/>
          <w:szCs w:val="20"/>
        </w:rPr>
      </w:pPr>
      <w:r w:rsidRPr="006446A5">
        <w:rPr>
          <w:noProof/>
        </w:rPr>
        <w:drawing>
          <wp:inline distT="0" distB="0" distL="0" distR="0">
            <wp:extent cx="114300" cy="95250"/>
            <wp:effectExtent l="0" t="0" r="0" b="0"/>
            <wp:docPr id="46" name="Image 4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On parle d'affacturage avec gestion déléguée (home factoring) </w:t>
      </w:r>
      <w:r w:rsidR="007A3373" w:rsidRPr="0086696A">
        <w:rPr>
          <w:rFonts w:ascii="Calibri" w:hAnsi="Calibri"/>
          <w:color w:val="002060"/>
          <w:sz w:val="20"/>
          <w:szCs w:val="20"/>
        </w:rPr>
        <w:t>lorsque l'entreprise bénéficie du financement et de la garantie de ses créances clients, mais conserve leur gestion quotidienne.</w:t>
      </w:r>
    </w:p>
    <w:p w:rsidR="007A3373" w:rsidRPr="0086696A" w:rsidRDefault="00A36527" w:rsidP="005E47FF">
      <w:pPr>
        <w:pStyle w:val="revuetexte"/>
        <w:spacing w:after="60"/>
        <w:ind w:left="170" w:hanging="170"/>
        <w:jc w:val="both"/>
        <w:rPr>
          <w:rFonts w:ascii="Calibri" w:hAnsi="Calibri"/>
          <w:color w:val="002060"/>
          <w:sz w:val="20"/>
          <w:szCs w:val="20"/>
        </w:rPr>
      </w:pPr>
      <w:r w:rsidRPr="006446A5">
        <w:rPr>
          <w:noProof/>
        </w:rPr>
        <w:drawing>
          <wp:inline distT="0" distB="0" distL="0" distR="0">
            <wp:extent cx="114300" cy="95250"/>
            <wp:effectExtent l="0" t="0" r="0" b="0"/>
            <wp:docPr id="47" name="Image 4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On parle d'affacturage confidentiel (</w:t>
      </w:r>
      <w:proofErr w:type="spellStart"/>
      <w:r w:rsidR="007A3373" w:rsidRPr="0086696A">
        <w:rPr>
          <w:rStyle w:val="lev"/>
          <w:rFonts w:ascii="Calibri" w:hAnsi="Calibri"/>
          <w:color w:val="002060"/>
          <w:sz w:val="20"/>
          <w:szCs w:val="20"/>
        </w:rPr>
        <w:t>confidential</w:t>
      </w:r>
      <w:proofErr w:type="spellEnd"/>
      <w:r w:rsidR="007A3373" w:rsidRPr="0086696A">
        <w:rPr>
          <w:rStyle w:val="lev"/>
          <w:rFonts w:ascii="Calibri" w:hAnsi="Calibri"/>
          <w:color w:val="002060"/>
          <w:sz w:val="20"/>
          <w:szCs w:val="20"/>
        </w:rPr>
        <w:t xml:space="preserve"> factoring) </w:t>
      </w:r>
      <w:r w:rsidR="007A3373" w:rsidRPr="0086696A">
        <w:rPr>
          <w:rFonts w:ascii="Calibri" w:hAnsi="Calibri"/>
          <w:color w:val="002060"/>
          <w:sz w:val="20"/>
          <w:szCs w:val="20"/>
        </w:rPr>
        <w:t>lorsque l'entreprise bénéficie du financement et de la garantie de ses créances clients sans aucune mention particulière à l'égard des tiers et qu'elle conserve leur gestion quotidienne.</w:t>
      </w:r>
    </w:p>
    <w:p w:rsidR="007A3373" w:rsidRPr="0086696A" w:rsidRDefault="00A36527" w:rsidP="005E47FF">
      <w:pPr>
        <w:pStyle w:val="revuetexte"/>
        <w:spacing w:after="60"/>
        <w:ind w:left="0"/>
        <w:jc w:val="both"/>
        <w:rPr>
          <w:rFonts w:ascii="Calibri" w:hAnsi="Calibri"/>
          <w:color w:val="002060"/>
          <w:sz w:val="20"/>
          <w:szCs w:val="20"/>
        </w:rPr>
      </w:pPr>
      <w:r w:rsidRPr="006446A5">
        <w:rPr>
          <w:noProof/>
        </w:rPr>
        <w:drawing>
          <wp:inline distT="0" distB="0" distL="0" distR="0">
            <wp:extent cx="114300" cy="95250"/>
            <wp:effectExtent l="0" t="0" r="0" b="0"/>
            <wp:docPr id="48" name="Image 4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Le coût de l'affacturage </w:t>
      </w:r>
    </w:p>
    <w:p w:rsidR="007A3373" w:rsidRPr="0086696A" w:rsidRDefault="007A3373" w:rsidP="005E47FF">
      <w:pPr>
        <w:pStyle w:val="revuetexte"/>
        <w:spacing w:after="60"/>
        <w:ind w:left="170"/>
        <w:jc w:val="both"/>
        <w:rPr>
          <w:rFonts w:ascii="Calibri" w:hAnsi="Calibri"/>
          <w:color w:val="002060"/>
          <w:sz w:val="20"/>
          <w:szCs w:val="20"/>
        </w:rPr>
      </w:pPr>
      <w:r w:rsidRPr="0086696A">
        <w:rPr>
          <w:rFonts w:ascii="Calibri" w:hAnsi="Calibri"/>
          <w:color w:val="002060"/>
          <w:sz w:val="20"/>
          <w:szCs w:val="20"/>
        </w:rPr>
        <w:t>Le coût de l'affacturage se compose souvent de deux types de commissions :</w:t>
      </w:r>
    </w:p>
    <w:p w:rsidR="007A3373" w:rsidRPr="0086696A" w:rsidRDefault="007A3373" w:rsidP="005E47FF">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5E47FF">
        <w:rPr>
          <w:rFonts w:ascii="Calibri" w:hAnsi="Calibri"/>
          <w:color w:val="002060"/>
          <w:sz w:val="20"/>
          <w:szCs w:val="20"/>
        </w:rPr>
        <w:t xml:space="preserve"> </w:t>
      </w:r>
      <w:r w:rsidRPr="0086696A">
        <w:rPr>
          <w:rFonts w:ascii="Calibri" w:hAnsi="Calibri"/>
          <w:color w:val="002060"/>
          <w:sz w:val="20"/>
          <w:szCs w:val="20"/>
        </w:rPr>
        <w:t>la commission de service, qui est déterminée en fonction des caractéristiques propres à chaque entreprise : CA, nombre de factures, volume des opérations prises en charge par l'affactureur...</w:t>
      </w:r>
    </w:p>
    <w:p w:rsidR="007A3373" w:rsidRPr="0086696A" w:rsidRDefault="007A3373" w:rsidP="005E47FF">
      <w:pPr>
        <w:pStyle w:val="revuetexte"/>
        <w:spacing w:after="120"/>
        <w:ind w:left="340" w:hanging="170"/>
        <w:jc w:val="both"/>
        <w:rPr>
          <w:rFonts w:ascii="Calibri" w:hAnsi="Calibri"/>
          <w:color w:val="002060"/>
          <w:sz w:val="20"/>
          <w:szCs w:val="20"/>
        </w:rPr>
      </w:pPr>
      <w:r w:rsidRPr="0086696A">
        <w:rPr>
          <w:rFonts w:ascii="Calibri" w:hAnsi="Calibri"/>
          <w:color w:val="002060"/>
          <w:sz w:val="20"/>
          <w:szCs w:val="20"/>
        </w:rPr>
        <w:t xml:space="preserve">- </w:t>
      </w:r>
      <w:r w:rsidR="005E47FF">
        <w:rPr>
          <w:rFonts w:ascii="Calibri" w:hAnsi="Calibri"/>
          <w:color w:val="002060"/>
          <w:sz w:val="20"/>
          <w:szCs w:val="20"/>
        </w:rPr>
        <w:t xml:space="preserve"> </w:t>
      </w:r>
      <w:r w:rsidRPr="0086696A">
        <w:rPr>
          <w:rFonts w:ascii="Calibri" w:hAnsi="Calibri"/>
          <w:color w:val="002060"/>
          <w:sz w:val="20"/>
          <w:szCs w:val="20"/>
        </w:rPr>
        <w:t>la commission de financement qui correspond à l'avance de trésorerie.</w:t>
      </w:r>
    </w:p>
    <w:p w:rsidR="007A3373" w:rsidRPr="00DB7C7E" w:rsidRDefault="007A3373" w:rsidP="00205314">
      <w:pPr>
        <w:pStyle w:val="revuesousintertitre"/>
        <w:spacing w:before="0" w:after="60"/>
        <w:ind w:left="0"/>
        <w:jc w:val="both"/>
        <w:rPr>
          <w:rFonts w:ascii="Calibri" w:hAnsi="Calibri"/>
          <w:color w:val="002060"/>
          <w:sz w:val="21"/>
          <w:szCs w:val="21"/>
        </w:rPr>
      </w:pPr>
      <w:r w:rsidRPr="00DB7C7E">
        <w:rPr>
          <w:rStyle w:val="revuesousintertitre1"/>
          <w:rFonts w:ascii="Calibri" w:hAnsi="Calibri"/>
          <w:color w:val="002060"/>
          <w:sz w:val="21"/>
          <w:szCs w:val="21"/>
        </w:rPr>
        <w:t xml:space="preserve">Le financement adossé à des garanties </w:t>
      </w:r>
    </w:p>
    <w:p w:rsidR="007A3373" w:rsidRPr="00DB7C7E" w:rsidRDefault="007A3373" w:rsidP="005E47FF">
      <w:pPr>
        <w:pStyle w:val="revuetexte"/>
        <w:spacing w:after="60"/>
        <w:ind w:left="0"/>
        <w:jc w:val="both"/>
        <w:rPr>
          <w:rFonts w:ascii="Calibri" w:hAnsi="Calibri"/>
          <w:color w:val="002060"/>
          <w:sz w:val="20"/>
          <w:szCs w:val="21"/>
        </w:rPr>
      </w:pPr>
      <w:r w:rsidRPr="00DB7C7E">
        <w:rPr>
          <w:rStyle w:val="lev"/>
          <w:rFonts w:ascii="Calibri" w:hAnsi="Calibri"/>
          <w:color w:val="002060"/>
          <w:sz w:val="20"/>
          <w:szCs w:val="21"/>
        </w:rPr>
        <w:t xml:space="preserve">Le gage sur stock </w:t>
      </w:r>
    </w:p>
    <w:p w:rsidR="007A3373" w:rsidRPr="0086696A" w:rsidRDefault="007A3373" w:rsidP="005E47FF">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Définition</w:t>
      </w:r>
      <w:r w:rsidRPr="0086696A">
        <w:rPr>
          <w:rFonts w:ascii="Calibri" w:hAnsi="Calibri"/>
          <w:color w:val="002060"/>
          <w:sz w:val="20"/>
          <w:szCs w:val="20"/>
        </w:rPr>
        <w:t>. Qu'il s'agisse du gage avec dépossession ou du gage des stocks sans dépossession, le fonctionnement est simple, puisque les marchandises constituées en gage peuvent rester au sein de l'entreprise et faire l'objet de substitutions sous réserve du maintien d'un stock minimum fixé entre les parties.</w:t>
      </w:r>
    </w:p>
    <w:p w:rsidR="007A3373" w:rsidRPr="0086696A" w:rsidRDefault="007A3373" w:rsidP="005E47FF">
      <w:pPr>
        <w:pStyle w:val="revuetexte"/>
        <w:spacing w:after="60"/>
        <w:ind w:left="170"/>
        <w:jc w:val="both"/>
        <w:rPr>
          <w:rFonts w:ascii="Calibri" w:hAnsi="Calibri"/>
          <w:color w:val="002060"/>
          <w:sz w:val="20"/>
          <w:szCs w:val="20"/>
        </w:rPr>
      </w:pPr>
      <w:r w:rsidRPr="0086696A">
        <w:rPr>
          <w:rFonts w:ascii="Calibri" w:hAnsi="Calibri"/>
          <w:color w:val="002060"/>
          <w:sz w:val="20"/>
          <w:szCs w:val="20"/>
        </w:rPr>
        <w:t>Si l'entreprise externalisme la gestion de ses stocks auprès d'un dépositaire spécialisé, la mise en place est également possible.</w:t>
      </w:r>
    </w:p>
    <w:p w:rsidR="007A3373" w:rsidRPr="0086696A" w:rsidRDefault="005E47FF" w:rsidP="005E47FF">
      <w:pPr>
        <w:pStyle w:val="revuetexte"/>
        <w:spacing w:after="60"/>
        <w:ind w:left="170"/>
        <w:jc w:val="both"/>
        <w:rPr>
          <w:rFonts w:ascii="Calibri" w:hAnsi="Calibri"/>
          <w:color w:val="002060"/>
          <w:sz w:val="20"/>
          <w:szCs w:val="20"/>
        </w:rPr>
      </w:pPr>
      <w:r>
        <w:rPr>
          <w:rFonts w:ascii="Calibri" w:hAnsi="Calibri"/>
          <w:color w:val="002060"/>
          <w:sz w:val="20"/>
          <w:szCs w:val="20"/>
        </w:rPr>
        <w:t>3</w:t>
      </w:r>
      <w:r w:rsidR="007A3373" w:rsidRPr="0086696A">
        <w:rPr>
          <w:rFonts w:ascii="Calibri" w:hAnsi="Calibri"/>
          <w:color w:val="002060"/>
          <w:sz w:val="20"/>
          <w:szCs w:val="20"/>
        </w:rPr>
        <w:t xml:space="preserve"> conditions suffisent pour pouvoir constituer un gage commercial :</w:t>
      </w:r>
    </w:p>
    <w:p w:rsidR="007A3373" w:rsidRPr="0086696A" w:rsidRDefault="007A3373" w:rsidP="005E47FF">
      <w:pPr>
        <w:pStyle w:val="revuetexte"/>
        <w:spacing w:after="60"/>
        <w:ind w:left="454" w:hanging="170"/>
        <w:jc w:val="both"/>
        <w:rPr>
          <w:rFonts w:ascii="Calibri" w:hAnsi="Calibri"/>
          <w:color w:val="002060"/>
          <w:sz w:val="20"/>
          <w:szCs w:val="20"/>
        </w:rPr>
      </w:pPr>
      <w:r w:rsidRPr="0086696A">
        <w:rPr>
          <w:rFonts w:ascii="Calibri" w:hAnsi="Calibri"/>
          <w:color w:val="002060"/>
          <w:sz w:val="20"/>
          <w:szCs w:val="20"/>
        </w:rPr>
        <w:t>1. les marchandises doivent être la propriété entière et exclusive de la société qui constitue le gage ;</w:t>
      </w:r>
    </w:p>
    <w:p w:rsidR="007A3373" w:rsidRPr="0086696A" w:rsidRDefault="007A3373" w:rsidP="005E47FF">
      <w:pPr>
        <w:pStyle w:val="revuetexte"/>
        <w:spacing w:after="60"/>
        <w:ind w:left="454" w:hanging="170"/>
        <w:jc w:val="both"/>
        <w:rPr>
          <w:rFonts w:ascii="Calibri" w:hAnsi="Calibri"/>
          <w:color w:val="002060"/>
          <w:sz w:val="20"/>
          <w:szCs w:val="20"/>
        </w:rPr>
      </w:pPr>
      <w:r w:rsidRPr="0086696A">
        <w:rPr>
          <w:rFonts w:ascii="Calibri" w:hAnsi="Calibri"/>
          <w:color w:val="002060"/>
          <w:sz w:val="20"/>
          <w:szCs w:val="20"/>
        </w:rPr>
        <w:t>2. le stock gagé doit être géré en inventaire permanent ;</w:t>
      </w:r>
    </w:p>
    <w:p w:rsidR="007A3373" w:rsidRPr="0086696A" w:rsidRDefault="007A3373" w:rsidP="005E47FF">
      <w:pPr>
        <w:pStyle w:val="revuetexte"/>
        <w:spacing w:after="60"/>
        <w:ind w:left="454" w:hanging="170"/>
        <w:jc w:val="both"/>
        <w:rPr>
          <w:rFonts w:ascii="Calibri" w:hAnsi="Calibri"/>
          <w:color w:val="002060"/>
          <w:sz w:val="20"/>
          <w:szCs w:val="20"/>
        </w:rPr>
      </w:pPr>
      <w:r w:rsidRPr="0086696A">
        <w:rPr>
          <w:rFonts w:ascii="Calibri" w:hAnsi="Calibri"/>
          <w:color w:val="002060"/>
          <w:sz w:val="20"/>
          <w:szCs w:val="20"/>
        </w:rPr>
        <w:t xml:space="preserve">3. le local où sont entreposées les marchandises gagées doit être réservé au seul stockage et fait l'objet d'un prêt à usage à la société. </w:t>
      </w:r>
    </w:p>
    <w:p w:rsidR="007A3373" w:rsidRPr="0086696A" w:rsidRDefault="007A3373" w:rsidP="005E47FF">
      <w:pPr>
        <w:pStyle w:val="revuetexte"/>
        <w:spacing w:after="120"/>
        <w:ind w:left="170"/>
        <w:jc w:val="both"/>
        <w:rPr>
          <w:rFonts w:ascii="Calibri" w:hAnsi="Calibri"/>
          <w:color w:val="002060"/>
          <w:sz w:val="20"/>
          <w:szCs w:val="20"/>
        </w:rPr>
      </w:pPr>
      <w:r w:rsidRPr="0086696A">
        <w:rPr>
          <w:rFonts w:ascii="Calibri" w:hAnsi="Calibri"/>
          <w:color w:val="002060"/>
          <w:sz w:val="20"/>
          <w:szCs w:val="20"/>
        </w:rPr>
        <w:t>Pour le gage des stocks sans dépossession, seuls les deux premiers points sont nécessaires.</w:t>
      </w:r>
    </w:p>
    <w:p w:rsidR="007A3373" w:rsidRPr="005E47FF" w:rsidRDefault="007A3373" w:rsidP="005E47FF">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Avantages</w:t>
      </w:r>
      <w:r w:rsidR="005E47FF">
        <w:rPr>
          <w:rFonts w:ascii="Calibri" w:hAnsi="Calibri"/>
          <w:color w:val="002060"/>
          <w:sz w:val="20"/>
          <w:szCs w:val="20"/>
        </w:rPr>
        <w:t> : l</w:t>
      </w:r>
      <w:r w:rsidRPr="0086696A">
        <w:rPr>
          <w:rFonts w:ascii="Calibri" w:hAnsi="Calibri"/>
          <w:color w:val="002060"/>
          <w:sz w:val="20"/>
          <w:szCs w:val="20"/>
        </w:rPr>
        <w:t>'entreprise peut utiliser une richesse de son actif pour obtenir des financements.</w:t>
      </w:r>
      <w:r w:rsidR="005E47FF">
        <w:rPr>
          <w:rFonts w:ascii="Calibri" w:hAnsi="Calibri"/>
          <w:color w:val="002060"/>
          <w:sz w:val="20"/>
          <w:szCs w:val="20"/>
        </w:rPr>
        <w:t xml:space="preserve"> </w:t>
      </w:r>
      <w:r w:rsidRPr="005E47FF">
        <w:rPr>
          <w:rFonts w:ascii="Calibri" w:hAnsi="Calibri"/>
          <w:color w:val="002060"/>
          <w:sz w:val="20"/>
          <w:szCs w:val="20"/>
        </w:rPr>
        <w:t>En second lieu, ces actifs gagés peuvent rester dans ses propres installations ou chez ses sous-traitants stockeurs.</w:t>
      </w:r>
    </w:p>
    <w:p w:rsidR="007A3373" w:rsidRPr="0086696A" w:rsidRDefault="007A3373" w:rsidP="005E47FF">
      <w:pPr>
        <w:pStyle w:val="revuetexte"/>
        <w:spacing w:after="60"/>
        <w:ind w:left="170"/>
        <w:jc w:val="both"/>
        <w:rPr>
          <w:rFonts w:ascii="Calibri" w:hAnsi="Calibri"/>
          <w:color w:val="002060"/>
          <w:sz w:val="20"/>
          <w:szCs w:val="20"/>
        </w:rPr>
      </w:pPr>
      <w:r w:rsidRPr="0086696A">
        <w:rPr>
          <w:rFonts w:ascii="Calibri" w:hAnsi="Calibri"/>
          <w:color w:val="002060"/>
          <w:sz w:val="20"/>
          <w:szCs w:val="20"/>
        </w:rPr>
        <w:t>L'entreprise peut par ailleurs continuer à faire des entrées et sorties de stocks sous réserve de maintenir un minimum convenu.</w:t>
      </w:r>
    </w:p>
    <w:p w:rsidR="007A3373" w:rsidRPr="0086696A" w:rsidRDefault="007A3373" w:rsidP="005E47FF">
      <w:pPr>
        <w:pStyle w:val="revuetexte"/>
        <w:spacing w:after="120"/>
        <w:ind w:left="170"/>
        <w:jc w:val="both"/>
        <w:rPr>
          <w:rFonts w:ascii="Calibri" w:hAnsi="Calibri"/>
          <w:color w:val="002060"/>
          <w:sz w:val="20"/>
          <w:szCs w:val="20"/>
        </w:rPr>
      </w:pPr>
      <w:r w:rsidRPr="0086696A">
        <w:rPr>
          <w:rFonts w:ascii="Calibri" w:hAnsi="Calibri"/>
          <w:color w:val="002060"/>
          <w:sz w:val="20"/>
          <w:szCs w:val="20"/>
        </w:rPr>
        <w:t>Il s'agit, en outre, pour le gage avec dépossession, d'une forme de garantie particulièrement forte sur le plan juridique pour la banque.</w:t>
      </w:r>
    </w:p>
    <w:p w:rsidR="007A3373" w:rsidRPr="0086696A" w:rsidRDefault="007A3373" w:rsidP="005E47FF">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Inconvénients</w:t>
      </w:r>
      <w:r w:rsidR="005E47FF">
        <w:rPr>
          <w:rFonts w:ascii="Calibri" w:hAnsi="Calibri"/>
          <w:color w:val="002060"/>
          <w:sz w:val="20"/>
          <w:szCs w:val="20"/>
        </w:rPr>
        <w:t> : l</w:t>
      </w:r>
      <w:r w:rsidRPr="0086696A">
        <w:rPr>
          <w:rFonts w:ascii="Calibri" w:hAnsi="Calibri"/>
          <w:color w:val="002060"/>
          <w:sz w:val="20"/>
          <w:szCs w:val="20"/>
        </w:rPr>
        <w:t>e principal inconvénient est l'obligation d'assurer une gestion spécifique des stocks constitués en gage, en complément de la gestion existante.</w:t>
      </w:r>
    </w:p>
    <w:p w:rsidR="007A3373" w:rsidRPr="0086696A" w:rsidRDefault="007A3373" w:rsidP="005E47FF">
      <w:pPr>
        <w:pStyle w:val="revuetexte"/>
        <w:spacing w:after="120"/>
        <w:ind w:left="170"/>
        <w:jc w:val="both"/>
        <w:rPr>
          <w:rFonts w:ascii="Calibri" w:hAnsi="Calibri"/>
          <w:color w:val="002060"/>
          <w:sz w:val="20"/>
          <w:szCs w:val="20"/>
        </w:rPr>
      </w:pPr>
      <w:r w:rsidRPr="0086696A">
        <w:rPr>
          <w:rFonts w:ascii="Calibri" w:hAnsi="Calibri"/>
          <w:color w:val="002060"/>
          <w:sz w:val="20"/>
          <w:szCs w:val="20"/>
        </w:rPr>
        <w:t xml:space="preserve">Les autres inconvénients peuvent être perçus par rapport à la publicité légale (sur le lieu de stockage pour le gage avec dépossession et au greffe pour le gage des stocks) de cette forme de garantie et aux mesures spécifiques nécessaire à la mise en </w:t>
      </w:r>
      <w:r w:rsidR="008125EF" w:rsidRPr="0086696A">
        <w:rPr>
          <w:rFonts w:ascii="Calibri" w:hAnsi="Calibri"/>
          <w:color w:val="002060"/>
          <w:sz w:val="20"/>
          <w:szCs w:val="20"/>
        </w:rPr>
        <w:t>œuvre</w:t>
      </w:r>
      <w:r w:rsidRPr="0086696A">
        <w:rPr>
          <w:rFonts w:ascii="Calibri" w:hAnsi="Calibri"/>
          <w:color w:val="002060"/>
          <w:sz w:val="20"/>
          <w:szCs w:val="20"/>
        </w:rPr>
        <w:t>.</w:t>
      </w:r>
    </w:p>
    <w:p w:rsidR="007A3373" w:rsidRPr="0086696A" w:rsidRDefault="007A3373" w:rsidP="005E47FF">
      <w:pPr>
        <w:pStyle w:val="revuetexte"/>
        <w:numPr>
          <w:ilvl w:val="0"/>
          <w:numId w:val="2"/>
        </w:numPr>
        <w:spacing w:after="60"/>
        <w:ind w:left="170" w:hanging="170"/>
        <w:jc w:val="both"/>
        <w:rPr>
          <w:rFonts w:ascii="Calibri" w:hAnsi="Calibri"/>
          <w:color w:val="002060"/>
          <w:sz w:val="20"/>
          <w:szCs w:val="20"/>
        </w:rPr>
      </w:pPr>
      <w:r w:rsidRPr="0086696A">
        <w:rPr>
          <w:rStyle w:val="lev"/>
          <w:rFonts w:ascii="Calibri" w:hAnsi="Calibri"/>
          <w:color w:val="002060"/>
          <w:sz w:val="20"/>
          <w:szCs w:val="20"/>
        </w:rPr>
        <w:t>Coûts</w:t>
      </w:r>
      <w:r w:rsidR="005E47FF">
        <w:rPr>
          <w:rFonts w:ascii="Calibri" w:hAnsi="Calibri"/>
          <w:color w:val="002060"/>
          <w:sz w:val="20"/>
          <w:szCs w:val="20"/>
        </w:rPr>
        <w:t> : l</w:t>
      </w:r>
      <w:r w:rsidRPr="0086696A">
        <w:rPr>
          <w:rFonts w:ascii="Calibri" w:hAnsi="Calibri"/>
          <w:color w:val="002060"/>
          <w:sz w:val="20"/>
          <w:szCs w:val="20"/>
        </w:rPr>
        <w:t>es coûts d'intervention dépendent le plus souvent de plusieurs critères (type de marchandise / mode de gestion : mode de stockage / lieux de stockage / montants concernés...) et font l'objet d'une cotation spécifique après qu'une étude de faisabilité a été réalisée dans l'entreprise.</w:t>
      </w:r>
    </w:p>
    <w:p w:rsidR="007A3373" w:rsidRPr="0086696A" w:rsidRDefault="007A3373" w:rsidP="005E47FF">
      <w:pPr>
        <w:pStyle w:val="revuetexte"/>
        <w:spacing w:after="120"/>
        <w:ind w:left="170"/>
        <w:jc w:val="both"/>
        <w:rPr>
          <w:rFonts w:ascii="Calibri" w:hAnsi="Calibri"/>
          <w:color w:val="002060"/>
          <w:sz w:val="20"/>
          <w:szCs w:val="20"/>
        </w:rPr>
      </w:pPr>
      <w:r w:rsidRPr="0086696A">
        <w:rPr>
          <w:rFonts w:ascii="Calibri" w:hAnsi="Calibri"/>
          <w:color w:val="002060"/>
          <w:sz w:val="20"/>
          <w:szCs w:val="20"/>
        </w:rPr>
        <w:t>Ils se composent des frais fixes d'étude, de mise en place, des frais d'enregistrement et d'une</w:t>
      </w:r>
      <w:r w:rsidR="005E47FF">
        <w:rPr>
          <w:rFonts w:ascii="Calibri" w:hAnsi="Calibri"/>
          <w:color w:val="002060"/>
          <w:sz w:val="20"/>
          <w:szCs w:val="20"/>
        </w:rPr>
        <w:t xml:space="preserve"> commission de tierce détention </w:t>
      </w:r>
      <w:r w:rsidRPr="0086696A">
        <w:rPr>
          <w:rFonts w:ascii="Calibri" w:hAnsi="Calibri"/>
          <w:color w:val="002060"/>
          <w:sz w:val="20"/>
          <w:szCs w:val="20"/>
        </w:rPr>
        <w:t>et contrôle payable par période de 2 mois (gage avec dépossession) ou trimestriellement (gage des stocks).</w:t>
      </w:r>
    </w:p>
    <w:p w:rsidR="007A3373" w:rsidRPr="00DB7C7E" w:rsidRDefault="007A3373" w:rsidP="005E47FF">
      <w:pPr>
        <w:pStyle w:val="revuetexte"/>
        <w:spacing w:after="60"/>
        <w:ind w:left="0"/>
        <w:jc w:val="both"/>
        <w:rPr>
          <w:rFonts w:ascii="Calibri" w:hAnsi="Calibri"/>
          <w:color w:val="002060"/>
          <w:sz w:val="20"/>
          <w:szCs w:val="21"/>
        </w:rPr>
      </w:pPr>
      <w:r w:rsidRPr="00DB7C7E">
        <w:rPr>
          <w:rStyle w:val="lev"/>
          <w:rFonts w:ascii="Calibri" w:hAnsi="Calibri"/>
          <w:color w:val="002060"/>
          <w:sz w:val="20"/>
          <w:szCs w:val="21"/>
        </w:rPr>
        <w:t xml:space="preserve">Le crédit documentaire </w:t>
      </w:r>
    </w:p>
    <w:p w:rsidR="007A3373" w:rsidRPr="0086696A" w:rsidRDefault="007A3373" w:rsidP="005E47FF">
      <w:pPr>
        <w:pStyle w:val="revuetexte"/>
        <w:spacing w:after="60"/>
        <w:ind w:left="0"/>
        <w:jc w:val="both"/>
        <w:rPr>
          <w:rFonts w:ascii="Calibri" w:hAnsi="Calibri"/>
          <w:color w:val="002060"/>
          <w:sz w:val="20"/>
          <w:szCs w:val="20"/>
        </w:rPr>
      </w:pPr>
      <w:r w:rsidRPr="0086696A">
        <w:rPr>
          <w:rFonts w:ascii="Calibri" w:hAnsi="Calibri"/>
          <w:color w:val="002060"/>
          <w:sz w:val="20"/>
          <w:szCs w:val="20"/>
        </w:rPr>
        <w:t>Le cr</w:t>
      </w:r>
      <w:r w:rsidR="0031454F" w:rsidRPr="0086696A">
        <w:rPr>
          <w:rFonts w:ascii="Calibri" w:hAnsi="Calibri"/>
          <w:color w:val="002060"/>
          <w:sz w:val="20"/>
          <w:szCs w:val="20"/>
        </w:rPr>
        <w:t>é</w:t>
      </w:r>
      <w:r w:rsidRPr="0086696A">
        <w:rPr>
          <w:rFonts w:ascii="Calibri" w:hAnsi="Calibri"/>
          <w:color w:val="002060"/>
          <w:sz w:val="20"/>
          <w:szCs w:val="20"/>
        </w:rPr>
        <w:t xml:space="preserve">dit documentaire est un moyen de paiement utilisé à l'international comportant un engagement bancaire. Il peut être </w:t>
      </w:r>
      <w:r w:rsidR="005E47FF">
        <w:rPr>
          <w:rFonts w:ascii="Calibri" w:hAnsi="Calibri"/>
          <w:color w:val="002060"/>
          <w:sz w:val="20"/>
          <w:szCs w:val="20"/>
        </w:rPr>
        <w:t xml:space="preserve">   </w:t>
      </w:r>
      <w:r w:rsidRPr="0086696A">
        <w:rPr>
          <w:rFonts w:ascii="Calibri" w:hAnsi="Calibri"/>
          <w:color w:val="002060"/>
          <w:sz w:val="20"/>
          <w:szCs w:val="20"/>
        </w:rPr>
        <w:t>« confirmé », renforçant encore la sécurité procurée.</w:t>
      </w:r>
    </w:p>
    <w:p w:rsidR="007A3373" w:rsidRPr="0086696A" w:rsidRDefault="007A3373" w:rsidP="005E47FF">
      <w:pPr>
        <w:pStyle w:val="revuetexte"/>
        <w:spacing w:after="60"/>
        <w:ind w:left="0"/>
        <w:jc w:val="both"/>
        <w:rPr>
          <w:rFonts w:ascii="Calibri" w:hAnsi="Calibri"/>
          <w:color w:val="002060"/>
          <w:sz w:val="20"/>
          <w:szCs w:val="20"/>
        </w:rPr>
      </w:pPr>
      <w:r w:rsidRPr="0086696A">
        <w:rPr>
          <w:rFonts w:ascii="Calibri" w:hAnsi="Calibri"/>
          <w:color w:val="002060"/>
          <w:sz w:val="20"/>
          <w:szCs w:val="20"/>
        </w:rPr>
        <w:t>Attention toutefois, le crédit documentaire est constitué d'un ensemble de documents. Il faut s'assurer de la conformité des documents pour être assuré d'un paiement rapide. Dans le cas contraire, l'utilisation du crédit documentaire peut s'avérer contreproductif.</w:t>
      </w:r>
    </w:p>
    <w:p w:rsidR="005E47FF" w:rsidRDefault="007A3373" w:rsidP="005E47FF">
      <w:pPr>
        <w:pStyle w:val="revuetexte"/>
        <w:spacing w:after="60"/>
        <w:ind w:left="0"/>
        <w:jc w:val="both"/>
        <w:rPr>
          <w:rFonts w:ascii="Calibri" w:hAnsi="Calibri"/>
          <w:color w:val="002060"/>
          <w:sz w:val="20"/>
          <w:szCs w:val="20"/>
        </w:rPr>
      </w:pPr>
      <w:r w:rsidRPr="0086696A">
        <w:rPr>
          <w:rFonts w:ascii="Calibri" w:hAnsi="Calibri"/>
          <w:color w:val="002060"/>
          <w:sz w:val="20"/>
          <w:szCs w:val="20"/>
        </w:rPr>
        <w:t>De plus, son coût reste élevé pour les parties, même s'il est correctement employé.</w:t>
      </w:r>
    </w:p>
    <w:p w:rsidR="007A3373" w:rsidRPr="0086696A" w:rsidRDefault="005E47FF" w:rsidP="005E47FF">
      <w:pPr>
        <w:pStyle w:val="revuetexte"/>
        <w:spacing w:after="120"/>
        <w:ind w:left="0"/>
        <w:jc w:val="both"/>
        <w:rPr>
          <w:rFonts w:ascii="Calibri" w:hAnsi="Calibri"/>
          <w:color w:val="002060"/>
          <w:sz w:val="20"/>
          <w:szCs w:val="20"/>
        </w:rPr>
      </w:pPr>
      <w:r>
        <w:rPr>
          <w:rFonts w:ascii="Calibri" w:hAnsi="Calibri"/>
          <w:color w:val="002060"/>
          <w:sz w:val="20"/>
          <w:szCs w:val="20"/>
        </w:rPr>
        <w:lastRenderedPageBreak/>
        <w:t>Il est plutôt</w:t>
      </w:r>
      <w:r w:rsidR="007A3373" w:rsidRPr="0086696A">
        <w:rPr>
          <w:rFonts w:ascii="Calibri" w:hAnsi="Calibri"/>
          <w:color w:val="002060"/>
          <w:sz w:val="20"/>
          <w:szCs w:val="20"/>
        </w:rPr>
        <w:t xml:space="preserve"> conseill</w:t>
      </w:r>
      <w:r>
        <w:rPr>
          <w:rFonts w:ascii="Calibri" w:hAnsi="Calibri"/>
          <w:color w:val="002060"/>
          <w:sz w:val="20"/>
          <w:szCs w:val="20"/>
        </w:rPr>
        <w:t>é</w:t>
      </w:r>
      <w:r w:rsidR="007A3373" w:rsidRPr="0086696A">
        <w:rPr>
          <w:rFonts w:ascii="Calibri" w:hAnsi="Calibri"/>
          <w:color w:val="002060"/>
          <w:sz w:val="20"/>
          <w:szCs w:val="20"/>
        </w:rPr>
        <w:t xml:space="preserve"> d'utiliser la </w:t>
      </w:r>
      <w:r w:rsidR="007A3373" w:rsidRPr="0086696A">
        <w:rPr>
          <w:rStyle w:val="lev"/>
          <w:rFonts w:ascii="Calibri" w:hAnsi="Calibri"/>
          <w:color w:val="002060"/>
          <w:sz w:val="20"/>
          <w:szCs w:val="20"/>
        </w:rPr>
        <w:t xml:space="preserve">Stand-by </w:t>
      </w:r>
      <w:proofErr w:type="spellStart"/>
      <w:r w:rsidR="007A3373" w:rsidRPr="0086696A">
        <w:rPr>
          <w:rStyle w:val="lev"/>
          <w:rFonts w:ascii="Calibri" w:hAnsi="Calibri"/>
          <w:color w:val="002060"/>
          <w:sz w:val="20"/>
          <w:szCs w:val="20"/>
        </w:rPr>
        <w:t>letter</w:t>
      </w:r>
      <w:proofErr w:type="spellEnd"/>
      <w:r w:rsidR="007A3373" w:rsidRPr="0086696A">
        <w:rPr>
          <w:rStyle w:val="lev"/>
          <w:rFonts w:ascii="Calibri" w:hAnsi="Calibri"/>
          <w:color w:val="002060"/>
          <w:sz w:val="20"/>
          <w:szCs w:val="20"/>
        </w:rPr>
        <w:t xml:space="preserve"> of </w:t>
      </w:r>
      <w:proofErr w:type="spellStart"/>
      <w:r w:rsidR="007A3373" w:rsidRPr="0086696A">
        <w:rPr>
          <w:rStyle w:val="lev"/>
          <w:rFonts w:ascii="Calibri" w:hAnsi="Calibri"/>
          <w:color w:val="002060"/>
          <w:sz w:val="20"/>
          <w:szCs w:val="20"/>
        </w:rPr>
        <w:t>credit</w:t>
      </w:r>
      <w:proofErr w:type="spellEnd"/>
      <w:r w:rsidR="007A3373" w:rsidRPr="0086696A">
        <w:rPr>
          <w:rFonts w:ascii="Calibri" w:hAnsi="Calibri"/>
          <w:color w:val="002060"/>
          <w:sz w:val="20"/>
          <w:szCs w:val="20"/>
        </w:rPr>
        <w:t>. Cette garantie est tout d'abord moins onéreuse et elle octroie en outre une plus grande sécurité de paiement.</w:t>
      </w:r>
    </w:p>
    <w:p w:rsidR="007A3373" w:rsidRPr="00DB7C7E" w:rsidRDefault="007A3373" w:rsidP="0031454F">
      <w:pPr>
        <w:pStyle w:val="revuetexte"/>
        <w:spacing w:after="60"/>
        <w:ind w:left="0"/>
        <w:jc w:val="both"/>
        <w:rPr>
          <w:rFonts w:ascii="Calibri" w:hAnsi="Calibri"/>
          <w:color w:val="002060"/>
          <w:sz w:val="21"/>
          <w:szCs w:val="21"/>
        </w:rPr>
      </w:pPr>
      <w:r w:rsidRPr="00DB7C7E">
        <w:rPr>
          <w:rStyle w:val="lev"/>
          <w:rFonts w:ascii="Calibri" w:hAnsi="Calibri"/>
          <w:color w:val="002060"/>
          <w:sz w:val="21"/>
          <w:szCs w:val="21"/>
        </w:rPr>
        <w:t xml:space="preserve">Le financement adossé à l'assurance-crédit </w:t>
      </w:r>
    </w:p>
    <w:p w:rsidR="007A3373" w:rsidRPr="0086696A" w:rsidRDefault="007A3373" w:rsidP="005E47FF">
      <w:pPr>
        <w:pStyle w:val="revuetexte"/>
        <w:numPr>
          <w:ilvl w:val="0"/>
          <w:numId w:val="2"/>
        </w:numPr>
        <w:spacing w:after="0"/>
        <w:ind w:left="170" w:hanging="170"/>
        <w:jc w:val="both"/>
        <w:rPr>
          <w:rFonts w:ascii="Calibri" w:hAnsi="Calibri"/>
          <w:color w:val="002060"/>
          <w:sz w:val="20"/>
          <w:szCs w:val="20"/>
        </w:rPr>
      </w:pPr>
      <w:r w:rsidRPr="0086696A">
        <w:rPr>
          <w:rStyle w:val="lev"/>
          <w:rFonts w:ascii="Calibri" w:hAnsi="Calibri"/>
          <w:color w:val="002060"/>
          <w:sz w:val="20"/>
          <w:szCs w:val="20"/>
        </w:rPr>
        <w:t>Avantage pour obtenir des financements</w:t>
      </w:r>
      <w:r w:rsidRPr="0086696A">
        <w:rPr>
          <w:rFonts w:ascii="Calibri" w:hAnsi="Calibri"/>
          <w:color w:val="002060"/>
          <w:sz w:val="20"/>
          <w:szCs w:val="20"/>
        </w:rPr>
        <w:t xml:space="preserve">. Cet instrument de couverture, en structurant l'aspect financier de l'activité commerciale et en minimisant son principal risque (le non-paiement), peut être un levier pour l'obtention de financements. </w:t>
      </w:r>
    </w:p>
    <w:p w:rsidR="007A3373" w:rsidRPr="0086696A" w:rsidRDefault="007A3373" w:rsidP="005E47FF">
      <w:pPr>
        <w:pStyle w:val="revuetexte"/>
        <w:spacing w:after="120"/>
        <w:ind w:left="170"/>
        <w:jc w:val="both"/>
        <w:rPr>
          <w:rFonts w:ascii="Calibri" w:hAnsi="Calibri"/>
          <w:color w:val="002060"/>
          <w:sz w:val="20"/>
          <w:szCs w:val="20"/>
        </w:rPr>
      </w:pPr>
      <w:r w:rsidRPr="0086696A">
        <w:rPr>
          <w:rFonts w:ascii="Calibri" w:hAnsi="Calibri"/>
          <w:color w:val="002060"/>
          <w:sz w:val="20"/>
          <w:szCs w:val="20"/>
        </w:rPr>
        <w:t>L'assurance-crédit améliore la qualité intrinsèque et perçue d'un emprunteur et facilite l'octroi de financements par ses partenaires financiers, car elle transfère les risques financiers de l'entreprise vers des entités financières spécialisées.</w:t>
      </w:r>
    </w:p>
    <w:p w:rsidR="007A3373" w:rsidRPr="0086696A" w:rsidRDefault="007A3373" w:rsidP="005E47FF">
      <w:pPr>
        <w:pStyle w:val="revuetexte"/>
        <w:numPr>
          <w:ilvl w:val="0"/>
          <w:numId w:val="2"/>
        </w:numPr>
        <w:spacing w:after="0"/>
        <w:ind w:left="170" w:hanging="170"/>
        <w:jc w:val="both"/>
        <w:rPr>
          <w:rFonts w:ascii="Calibri" w:hAnsi="Calibri"/>
          <w:color w:val="002060"/>
          <w:sz w:val="20"/>
          <w:szCs w:val="20"/>
        </w:rPr>
      </w:pPr>
      <w:r w:rsidRPr="0086696A">
        <w:rPr>
          <w:rStyle w:val="lev"/>
          <w:rFonts w:ascii="Calibri" w:hAnsi="Calibri"/>
          <w:color w:val="002060"/>
          <w:sz w:val="20"/>
          <w:szCs w:val="20"/>
        </w:rPr>
        <w:t>L'assurance-crédit sécurise un financement d'actifs</w:t>
      </w:r>
      <w:r w:rsidRPr="0086696A">
        <w:rPr>
          <w:rFonts w:ascii="Calibri" w:hAnsi="Calibri"/>
          <w:color w:val="002060"/>
          <w:sz w:val="20"/>
          <w:szCs w:val="20"/>
        </w:rPr>
        <w:t>. Les créances commerciales peuvent être « mobilisées », c'est-à-dire directement financées, en faisant intervenir différents partenaires financiers. L'entreprise peut avoir recours à une banque, pour un financement en loi Dailly (factures) ou escompte (effets), ou bien à un factor (factures).</w:t>
      </w:r>
    </w:p>
    <w:p w:rsidR="005E47FF" w:rsidRDefault="007A3373" w:rsidP="005E47FF">
      <w:pPr>
        <w:pStyle w:val="revuetexte"/>
        <w:spacing w:after="60"/>
        <w:ind w:left="170"/>
        <w:jc w:val="both"/>
        <w:rPr>
          <w:rFonts w:ascii="Calibri" w:hAnsi="Calibri"/>
          <w:color w:val="002060"/>
          <w:sz w:val="20"/>
          <w:szCs w:val="20"/>
        </w:rPr>
      </w:pPr>
      <w:r w:rsidRPr="0086696A">
        <w:rPr>
          <w:rFonts w:ascii="Calibri" w:hAnsi="Calibri"/>
          <w:color w:val="002060"/>
          <w:sz w:val="20"/>
          <w:szCs w:val="20"/>
        </w:rPr>
        <w:t xml:space="preserve">Dans ces deux cas, le partenaire financier qui fait le financement sur ces créances commerciales peut bénéficier de la couverture souscrite par son client. Un avenant à la police d'assurances de « délégation des bénéfices de l'assurance » en faveur de l'établissement financier en question est mis en place. </w:t>
      </w:r>
    </w:p>
    <w:p w:rsidR="00A80205" w:rsidRDefault="007A3373" w:rsidP="00A80205">
      <w:pPr>
        <w:pStyle w:val="revuetexte"/>
        <w:numPr>
          <w:ilvl w:val="0"/>
          <w:numId w:val="2"/>
        </w:numPr>
        <w:spacing w:after="60"/>
        <w:ind w:left="170" w:hanging="170"/>
        <w:jc w:val="both"/>
        <w:rPr>
          <w:rFonts w:ascii="Calibri" w:hAnsi="Calibri"/>
          <w:color w:val="002060"/>
          <w:sz w:val="20"/>
          <w:szCs w:val="20"/>
        </w:rPr>
      </w:pPr>
      <w:r w:rsidRPr="00A80205">
        <w:rPr>
          <w:rStyle w:val="lev"/>
          <w:rFonts w:ascii="Calibri" w:hAnsi="Calibri"/>
          <w:color w:val="002060"/>
          <w:sz w:val="20"/>
          <w:szCs w:val="20"/>
        </w:rPr>
        <w:t xml:space="preserve">À l'export, l'assurance-crédit est souvent valorisante </w:t>
      </w:r>
      <w:r w:rsidRPr="00A80205">
        <w:rPr>
          <w:rFonts w:ascii="Calibri" w:hAnsi="Calibri"/>
          <w:color w:val="002060"/>
          <w:sz w:val="20"/>
          <w:szCs w:val="20"/>
        </w:rPr>
        <w:t xml:space="preserve">pour l'entreprise, car elle permet d'afficher une meilleure sécurisation de ses risques sur des clients éloignés et moins connus. </w:t>
      </w:r>
    </w:p>
    <w:p w:rsidR="007A3373" w:rsidRPr="00A80205" w:rsidRDefault="007A3373" w:rsidP="00A80205">
      <w:pPr>
        <w:pStyle w:val="revuetexte"/>
        <w:numPr>
          <w:ilvl w:val="0"/>
          <w:numId w:val="2"/>
        </w:numPr>
        <w:spacing w:after="100" w:afterAutospacing="1"/>
        <w:ind w:left="170" w:hanging="170"/>
        <w:jc w:val="both"/>
        <w:rPr>
          <w:rFonts w:ascii="Calibri" w:hAnsi="Calibri"/>
          <w:color w:val="002060"/>
          <w:sz w:val="20"/>
          <w:szCs w:val="20"/>
        </w:rPr>
      </w:pPr>
      <w:r w:rsidRPr="00A80205">
        <w:rPr>
          <w:rStyle w:val="lev"/>
          <w:rFonts w:ascii="Calibri" w:hAnsi="Calibri"/>
          <w:color w:val="002060"/>
          <w:sz w:val="20"/>
          <w:szCs w:val="20"/>
        </w:rPr>
        <w:t>L'assurance-crédit peut financer le non-paiement directement</w:t>
      </w:r>
      <w:r w:rsidRPr="00A80205">
        <w:rPr>
          <w:rFonts w:ascii="Calibri" w:hAnsi="Calibri"/>
          <w:color w:val="002060"/>
          <w:sz w:val="20"/>
          <w:szCs w:val="20"/>
        </w:rPr>
        <w:t>. Les acteurs du marché proposent un service de préfinancement de l'indemnisation. En cas de non-paiement (sinistre), l'entreprise ne supporte pas transitoirement son impact dans sa trésorerie, puisqu'un « crédit relais » est mis en place jusqu'au paiement de l'indemnisation.</w:t>
      </w:r>
    </w:p>
    <w:p w:rsidR="007A3373" w:rsidRPr="00DB7C7E" w:rsidRDefault="00A80205" w:rsidP="00D93C2C">
      <w:pPr>
        <w:pStyle w:val="revueintertitre"/>
        <w:spacing w:before="0" w:after="120"/>
        <w:ind w:left="0"/>
        <w:jc w:val="both"/>
        <w:rPr>
          <w:rFonts w:ascii="Calibri" w:hAnsi="Calibri"/>
          <w:color w:val="002060"/>
          <w:sz w:val="24"/>
          <w:szCs w:val="26"/>
        </w:rPr>
      </w:pPr>
      <w:r w:rsidRPr="00DB7C7E">
        <w:rPr>
          <w:rFonts w:ascii="Calibri" w:hAnsi="Calibri"/>
          <w:caps w:val="0"/>
          <w:color w:val="002060"/>
          <w:sz w:val="24"/>
          <w:szCs w:val="26"/>
        </w:rPr>
        <w:t xml:space="preserve">L'externalisation du poste clients </w:t>
      </w:r>
    </w:p>
    <w:p w:rsidR="00A80205" w:rsidRDefault="007A3373" w:rsidP="00A80205">
      <w:pPr>
        <w:pStyle w:val="revuetexte"/>
        <w:spacing w:after="60"/>
        <w:ind w:left="0"/>
        <w:jc w:val="both"/>
        <w:rPr>
          <w:rFonts w:ascii="Calibri" w:hAnsi="Calibri"/>
          <w:color w:val="002060"/>
          <w:sz w:val="20"/>
          <w:szCs w:val="20"/>
        </w:rPr>
      </w:pPr>
      <w:r w:rsidRPr="0086696A">
        <w:rPr>
          <w:rStyle w:val="lev"/>
          <w:rFonts w:ascii="Calibri" w:hAnsi="Calibri"/>
          <w:color w:val="002060"/>
          <w:sz w:val="20"/>
          <w:szCs w:val="20"/>
        </w:rPr>
        <w:t xml:space="preserve">La décision de confier tout ou partie des travaux du poste clients à un prestataire </w:t>
      </w:r>
      <w:r w:rsidRPr="0086696A">
        <w:rPr>
          <w:rFonts w:ascii="Calibri" w:hAnsi="Calibri"/>
          <w:color w:val="002060"/>
          <w:sz w:val="20"/>
          <w:szCs w:val="20"/>
        </w:rPr>
        <w:t xml:space="preserve">(sélectionné en général sur des critères de performance) a pour objectif essentiel une réduction de coûts rapide et substantielle (de 20 % à 30 % minimum), dans des secteurs à forte intensité de </w:t>
      </w:r>
      <w:r w:rsidR="008125EF" w:rsidRPr="0086696A">
        <w:rPr>
          <w:rFonts w:ascii="Calibri" w:hAnsi="Calibri"/>
          <w:color w:val="002060"/>
          <w:sz w:val="20"/>
          <w:szCs w:val="20"/>
        </w:rPr>
        <w:t>main-d’œuvre</w:t>
      </w:r>
      <w:r w:rsidRPr="0086696A">
        <w:rPr>
          <w:rFonts w:ascii="Calibri" w:hAnsi="Calibri"/>
          <w:color w:val="002060"/>
          <w:sz w:val="20"/>
          <w:szCs w:val="20"/>
        </w:rPr>
        <w:t xml:space="preserve"> peu qualifiée, mais aussi désormais, avec l'expérience acquise par les différents prestataires, l'amélioration de la qualité et la flexibilité.</w:t>
      </w:r>
    </w:p>
    <w:p w:rsidR="007A3373" w:rsidRPr="0086696A" w:rsidRDefault="007A3373" w:rsidP="00A80205">
      <w:pPr>
        <w:pStyle w:val="revuetexte"/>
        <w:spacing w:after="60"/>
        <w:ind w:left="0"/>
        <w:jc w:val="both"/>
        <w:rPr>
          <w:rFonts w:ascii="Calibri" w:hAnsi="Calibri"/>
          <w:color w:val="002060"/>
          <w:sz w:val="20"/>
          <w:szCs w:val="20"/>
        </w:rPr>
      </w:pPr>
      <w:r w:rsidRPr="0086696A">
        <w:rPr>
          <w:rFonts w:ascii="Calibri" w:hAnsi="Calibri"/>
          <w:color w:val="002060"/>
          <w:sz w:val="20"/>
          <w:szCs w:val="20"/>
        </w:rPr>
        <w:t>Les « bonnes pratiques », facteurs du succès d'un tel projet, sont en particulier les suivantes :</w:t>
      </w:r>
    </w:p>
    <w:p w:rsidR="007A3373" w:rsidRPr="0086696A" w:rsidRDefault="007A3373" w:rsidP="00A80205">
      <w:pPr>
        <w:pStyle w:val="revuetexte"/>
        <w:spacing w:after="60"/>
        <w:ind w:left="17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la décision d'externaliser ne doit pas être prise sous la pression, dans la précipitation ;</w:t>
      </w:r>
    </w:p>
    <w:p w:rsidR="007A3373" w:rsidRPr="0086696A" w:rsidRDefault="007A3373" w:rsidP="00A80205">
      <w:pPr>
        <w:pStyle w:val="revuetexte"/>
        <w:spacing w:after="60"/>
        <w:ind w:left="17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la maîtrise et la standardisation des processus avant transfert est indispensable ;</w:t>
      </w:r>
    </w:p>
    <w:p w:rsidR="007A3373" w:rsidRPr="0086696A" w:rsidRDefault="007A3373" w:rsidP="00A80205">
      <w:pPr>
        <w:pStyle w:val="revuetexte"/>
        <w:spacing w:after="60"/>
        <w:ind w:left="17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 xml:space="preserve">la conduite du projet et du changement, est </w:t>
      </w:r>
      <w:r w:rsidR="008125EF" w:rsidRPr="0086696A">
        <w:rPr>
          <w:rFonts w:ascii="Calibri" w:hAnsi="Calibri"/>
          <w:color w:val="002060"/>
          <w:sz w:val="20"/>
          <w:szCs w:val="20"/>
        </w:rPr>
        <w:t>fondamentale</w:t>
      </w:r>
      <w:r w:rsidRPr="0086696A">
        <w:rPr>
          <w:rFonts w:ascii="Calibri" w:hAnsi="Calibri"/>
          <w:color w:val="002060"/>
          <w:sz w:val="20"/>
          <w:szCs w:val="20"/>
        </w:rPr>
        <w:t xml:space="preserve"> pour réussir l'opération ;</w:t>
      </w:r>
    </w:p>
    <w:p w:rsidR="007A3373" w:rsidRPr="0086696A" w:rsidRDefault="007A3373" w:rsidP="00A80205">
      <w:pPr>
        <w:pStyle w:val="revuetexte"/>
        <w:spacing w:after="60"/>
        <w:ind w:left="17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une nouvelle fonction (comité de pilotage) doit être créée pour vérifier que l'externalisation est bien gérée, que les critères de performance définis, et contractuels, sont respectés et pour gérer les liens entre l'interne et le prestataire.</w:t>
      </w:r>
    </w:p>
    <w:p w:rsidR="007A3373" w:rsidRPr="0086696A" w:rsidRDefault="00A80205" w:rsidP="00A80205">
      <w:pPr>
        <w:pStyle w:val="revuetexte"/>
        <w:spacing w:after="60"/>
        <w:ind w:left="0"/>
        <w:jc w:val="both"/>
        <w:rPr>
          <w:rFonts w:ascii="Calibri" w:hAnsi="Calibri"/>
          <w:color w:val="002060"/>
          <w:sz w:val="20"/>
          <w:szCs w:val="20"/>
        </w:rPr>
      </w:pPr>
      <w:r w:rsidRPr="006446A5">
        <w:rPr>
          <w:noProof/>
        </w:rPr>
        <w:drawing>
          <wp:inline distT="0" distB="0" distL="0" distR="0" wp14:anchorId="316BAEEF" wp14:editId="0B22D31B">
            <wp:extent cx="114300" cy="95250"/>
            <wp:effectExtent l="0" t="0" r="0" b="0"/>
            <wp:docPr id="49" name="Image 4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Une opération d'externalisation comporte des risques, </w:t>
      </w:r>
      <w:r w:rsidR="007A3373" w:rsidRPr="0086696A">
        <w:rPr>
          <w:rFonts w:ascii="Calibri" w:hAnsi="Calibri"/>
          <w:color w:val="002060"/>
          <w:sz w:val="20"/>
          <w:szCs w:val="20"/>
        </w:rPr>
        <w:t xml:space="preserve">et notamment : </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dépendance vis-à-vis du prestataire (les contrats sont de 3 à 5 ans). Il faut donc étudier avec soin les clauses de réversibilité, pour sortir du contrat ou changer de prestataire, et la faisabilité technique ;</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baisse de performance des activités externalisées - notamment si le taux de rotation du personnel du prestataire est trop élevé. Il faut donc mesurer les conséquences pécuniaires pour le prestataire si le seuil de performance n'est pas atteint, et vérifier que les responsabilités soient clairement attribuables, soit au prestataire, soit à l'entreprise ;</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 xml:space="preserve">perte d'expertise en interne, qui ne permettrait pas de contrôler directement les processus externalisés, ou de les « </w:t>
      </w:r>
      <w:r w:rsidR="00003B10" w:rsidRPr="0086696A">
        <w:rPr>
          <w:rFonts w:ascii="Calibri" w:hAnsi="Calibri"/>
          <w:color w:val="002060"/>
          <w:sz w:val="20"/>
          <w:szCs w:val="20"/>
        </w:rPr>
        <w:t>ré internaliser</w:t>
      </w:r>
      <w:r w:rsidRPr="0086696A">
        <w:rPr>
          <w:rFonts w:ascii="Calibri" w:hAnsi="Calibri"/>
          <w:color w:val="002060"/>
          <w:sz w:val="20"/>
          <w:szCs w:val="20"/>
        </w:rPr>
        <w:t xml:space="preserve"> » en cas de nécessité.</w:t>
      </w:r>
    </w:p>
    <w:p w:rsidR="007A3373" w:rsidRPr="0086696A" w:rsidRDefault="00A80205" w:rsidP="00A80205">
      <w:pPr>
        <w:pStyle w:val="revuetexte"/>
        <w:spacing w:after="60"/>
        <w:ind w:left="0"/>
        <w:jc w:val="both"/>
        <w:rPr>
          <w:rFonts w:ascii="Calibri" w:hAnsi="Calibri"/>
          <w:color w:val="002060"/>
          <w:sz w:val="20"/>
          <w:szCs w:val="20"/>
        </w:rPr>
      </w:pPr>
      <w:r w:rsidRPr="006446A5">
        <w:rPr>
          <w:noProof/>
        </w:rPr>
        <w:drawing>
          <wp:inline distT="0" distB="0" distL="0" distR="0" wp14:anchorId="316BAEEF" wp14:editId="0B22D31B">
            <wp:extent cx="114300" cy="95250"/>
            <wp:effectExtent l="0" t="0" r="0" b="0"/>
            <wp:docPr id="50" name="Image 5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Mais l'externalisation offre également des opportunités </w:t>
      </w:r>
      <w:r w:rsidR="007A3373" w:rsidRPr="0086696A">
        <w:rPr>
          <w:rFonts w:ascii="Calibri" w:hAnsi="Calibri"/>
          <w:color w:val="002060"/>
          <w:sz w:val="20"/>
          <w:szCs w:val="20"/>
        </w:rPr>
        <w:t>:</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capacité à évoluer rapidement, en fonction de l'activité de l'entreprise, aussi bien en cas de croissance rapide (acquisitions, par exemple), que de décroissance ou réorientation ;</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 xml:space="preserve">économies d'échelle </w:t>
      </w:r>
      <w:r w:rsidR="00A80205" w:rsidRPr="0086696A">
        <w:rPr>
          <w:rFonts w:ascii="Calibri" w:hAnsi="Calibri"/>
          <w:color w:val="002060"/>
          <w:sz w:val="20"/>
          <w:szCs w:val="20"/>
        </w:rPr>
        <w:t>au-delà</w:t>
      </w:r>
      <w:r w:rsidRPr="0086696A">
        <w:rPr>
          <w:rFonts w:ascii="Calibri" w:hAnsi="Calibri"/>
          <w:color w:val="002060"/>
          <w:sz w:val="20"/>
          <w:szCs w:val="20"/>
        </w:rPr>
        <w:t xml:space="preserve"> des seuls volumes traités par l'entreprise ;</w:t>
      </w:r>
    </w:p>
    <w:p w:rsidR="007A3373" w:rsidRPr="0086696A" w:rsidRDefault="007A3373" w:rsidP="00A80205">
      <w:pPr>
        <w:pStyle w:val="revuetexte"/>
        <w:spacing w:after="60"/>
        <w:ind w:left="340" w:hanging="170"/>
        <w:jc w:val="both"/>
        <w:rPr>
          <w:rFonts w:ascii="Calibri" w:hAnsi="Calibri"/>
          <w:color w:val="002060"/>
          <w:sz w:val="20"/>
          <w:szCs w:val="20"/>
        </w:rPr>
      </w:pPr>
      <w:r w:rsidRPr="0086696A">
        <w:rPr>
          <w:rFonts w:ascii="Calibri" w:hAnsi="Calibri"/>
          <w:color w:val="002060"/>
          <w:sz w:val="20"/>
          <w:szCs w:val="20"/>
        </w:rPr>
        <w:t>- accès à des compétences externes (par exemple, un système de traitement des litiges et de suivi des actions de recouvrement plus performant que votre système interne) ;</w:t>
      </w:r>
    </w:p>
    <w:p w:rsidR="007A3373" w:rsidRPr="0086696A" w:rsidRDefault="007A3373" w:rsidP="00A80205">
      <w:pPr>
        <w:pStyle w:val="revuetexte"/>
        <w:spacing w:after="0"/>
        <w:ind w:left="340" w:hanging="170"/>
        <w:jc w:val="both"/>
        <w:rPr>
          <w:rFonts w:ascii="Calibri" w:hAnsi="Calibri"/>
          <w:color w:val="002060"/>
          <w:sz w:val="20"/>
          <w:szCs w:val="20"/>
        </w:rPr>
      </w:pPr>
      <w:r w:rsidRPr="0086696A">
        <w:rPr>
          <w:rFonts w:ascii="Calibri" w:hAnsi="Calibri"/>
          <w:color w:val="002060"/>
          <w:sz w:val="20"/>
          <w:szCs w:val="20"/>
        </w:rPr>
        <w:t xml:space="preserve">- </w:t>
      </w:r>
      <w:r w:rsidR="00A80205">
        <w:rPr>
          <w:rFonts w:ascii="Calibri" w:hAnsi="Calibri"/>
          <w:color w:val="002060"/>
          <w:sz w:val="20"/>
          <w:szCs w:val="20"/>
        </w:rPr>
        <w:t xml:space="preserve"> </w:t>
      </w:r>
      <w:r w:rsidRPr="0086696A">
        <w:rPr>
          <w:rFonts w:ascii="Calibri" w:hAnsi="Calibri"/>
          <w:color w:val="002060"/>
          <w:sz w:val="20"/>
          <w:szCs w:val="20"/>
        </w:rPr>
        <w:t>possibilité de bénéficier de nouvelles technologies, si l'entreprise ne souhaite pas nécessairement investir pour améliorer le système de gestion d'une fonction de support.</w:t>
      </w:r>
    </w:p>
    <w:p w:rsidR="007A3373" w:rsidRPr="00DB7C7E" w:rsidRDefault="007A3373" w:rsidP="0034171E">
      <w:pPr>
        <w:pStyle w:val="revuetitre"/>
        <w:spacing w:before="100" w:beforeAutospacing="1" w:after="120"/>
        <w:jc w:val="both"/>
        <w:rPr>
          <w:rFonts w:ascii="Calibri" w:hAnsi="Calibri"/>
          <w:color w:val="002060"/>
          <w:sz w:val="24"/>
        </w:rPr>
      </w:pPr>
      <w:r w:rsidRPr="00DB7C7E">
        <w:rPr>
          <w:rFonts w:ascii="Calibri" w:hAnsi="Calibri"/>
          <w:color w:val="002060"/>
          <w:sz w:val="24"/>
        </w:rPr>
        <w:t xml:space="preserve">Annexe : évaluer sa performance en gestion du risque client </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Nous illustrons, à travers un exemple, l'enjeu pour l'entreprise d'optimiser sa gestion du risque client et proposons un tableau de bord de mesure de sa performance en la matière.</w:t>
      </w:r>
    </w:p>
    <w:p w:rsidR="00A80205" w:rsidRDefault="007A3373" w:rsidP="00A80205">
      <w:pPr>
        <w:pStyle w:val="revuechapo"/>
        <w:spacing w:before="0" w:after="60"/>
        <w:ind w:left="0"/>
        <w:rPr>
          <w:rStyle w:val="revueremarquetitre"/>
          <w:rFonts w:ascii="Calibri" w:hAnsi="Calibri"/>
          <w:color w:val="002060"/>
          <w:sz w:val="20"/>
          <w:szCs w:val="20"/>
        </w:rPr>
      </w:pPr>
      <w:r w:rsidRPr="0086696A">
        <w:rPr>
          <w:rStyle w:val="revueremarquetitre"/>
          <w:rFonts w:ascii="Calibri" w:hAnsi="Calibri"/>
          <w:color w:val="002060"/>
          <w:sz w:val="20"/>
          <w:szCs w:val="20"/>
        </w:rPr>
        <w:t xml:space="preserve">Exemple : </w:t>
      </w:r>
    </w:p>
    <w:p w:rsidR="00A80205" w:rsidRDefault="008125EF" w:rsidP="00A80205">
      <w:pPr>
        <w:pStyle w:val="revuechapo"/>
        <w:spacing w:before="0" w:after="60"/>
        <w:ind w:left="0"/>
        <w:rPr>
          <w:rFonts w:ascii="Calibri" w:hAnsi="Calibri" w:cs="Arial"/>
          <w:color w:val="002060"/>
          <w:sz w:val="20"/>
          <w:szCs w:val="20"/>
        </w:rPr>
      </w:pPr>
      <w:r w:rsidRPr="0086696A">
        <w:rPr>
          <w:rFonts w:ascii="Calibri" w:hAnsi="Calibri"/>
          <w:color w:val="002060"/>
          <w:sz w:val="20"/>
          <w:szCs w:val="20"/>
        </w:rPr>
        <w:t>CA annuel TTC : 6.000.</w:t>
      </w:r>
      <w:r w:rsidR="007A3373" w:rsidRPr="0086696A">
        <w:rPr>
          <w:rFonts w:ascii="Calibri" w:hAnsi="Calibri"/>
          <w:color w:val="002060"/>
          <w:sz w:val="20"/>
          <w:szCs w:val="20"/>
        </w:rPr>
        <w:t xml:space="preserve">000 </w:t>
      </w:r>
      <w:r w:rsidRPr="0086696A">
        <w:rPr>
          <w:rFonts w:ascii="Calibri" w:hAnsi="Calibri" w:cs="Arial"/>
          <w:color w:val="002060"/>
          <w:sz w:val="20"/>
          <w:szCs w:val="20"/>
        </w:rPr>
        <w:t>€</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 xml:space="preserve">CA des </w:t>
      </w:r>
      <w:r w:rsidR="008125EF" w:rsidRPr="0086696A">
        <w:rPr>
          <w:rFonts w:ascii="Calibri" w:hAnsi="Calibri"/>
          <w:color w:val="002060"/>
          <w:sz w:val="20"/>
          <w:szCs w:val="20"/>
        </w:rPr>
        <w:t>20 plus gros clients TTC/an : 1.</w:t>
      </w:r>
      <w:r w:rsidRPr="0086696A">
        <w:rPr>
          <w:rFonts w:ascii="Calibri" w:hAnsi="Calibri"/>
          <w:color w:val="002060"/>
          <w:sz w:val="20"/>
          <w:szCs w:val="20"/>
        </w:rPr>
        <w:t>000</w:t>
      </w:r>
      <w:r w:rsidR="008125EF" w:rsidRPr="0086696A">
        <w:rPr>
          <w:rFonts w:ascii="Calibri" w:hAnsi="Calibri"/>
          <w:color w:val="002060"/>
          <w:sz w:val="20"/>
          <w:szCs w:val="20"/>
        </w:rPr>
        <w:t>.000</w:t>
      </w:r>
      <w:r w:rsidRPr="0086696A">
        <w:rPr>
          <w:rFonts w:ascii="Calibri" w:hAnsi="Calibri"/>
          <w:color w:val="002060"/>
          <w:sz w:val="20"/>
          <w:szCs w:val="20"/>
        </w:rPr>
        <w:t xml:space="preserve"> </w:t>
      </w:r>
      <w:r w:rsidR="008125EF" w:rsidRPr="0086696A">
        <w:rPr>
          <w:rFonts w:ascii="Calibri" w:hAnsi="Calibri" w:cs="Arial"/>
          <w:color w:val="002060"/>
          <w:sz w:val="20"/>
          <w:szCs w:val="20"/>
        </w:rPr>
        <w:t>€</w:t>
      </w:r>
      <w:r w:rsidR="008125EF" w:rsidRPr="0086696A">
        <w:rPr>
          <w:rFonts w:ascii="Calibri" w:hAnsi="Calibri"/>
          <w:color w:val="002060"/>
          <w:sz w:val="20"/>
          <w:szCs w:val="20"/>
        </w:rPr>
        <w:t xml:space="preserve"> (CA du plus gros : 300.</w:t>
      </w:r>
      <w:r w:rsidRPr="0086696A">
        <w:rPr>
          <w:rFonts w:ascii="Calibri" w:hAnsi="Calibri"/>
          <w:color w:val="002060"/>
          <w:sz w:val="20"/>
          <w:szCs w:val="20"/>
        </w:rPr>
        <w:t xml:space="preserve">000 </w:t>
      </w:r>
      <w:r w:rsidR="008125EF" w:rsidRPr="0086696A">
        <w:rPr>
          <w:rFonts w:ascii="Calibri" w:hAnsi="Calibri" w:cs="Arial"/>
          <w:color w:val="002060"/>
          <w:sz w:val="20"/>
          <w:szCs w:val="20"/>
        </w:rPr>
        <w:t>€</w:t>
      </w:r>
      <w:r w:rsidRPr="0086696A">
        <w:rPr>
          <w:rFonts w:ascii="Calibri" w:hAnsi="Calibri"/>
          <w:color w:val="002060"/>
          <w:sz w:val="20"/>
          <w:szCs w:val="20"/>
        </w:rPr>
        <w:t>)</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lastRenderedPageBreak/>
        <w:t>Délai de paiement accordé aux clients (CGV) en jours : 45 jours</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Poste clien</w:t>
      </w:r>
      <w:r w:rsidR="008125EF" w:rsidRPr="0086696A">
        <w:rPr>
          <w:rFonts w:ascii="Calibri" w:hAnsi="Calibri"/>
          <w:color w:val="002060"/>
          <w:sz w:val="20"/>
          <w:szCs w:val="20"/>
        </w:rPr>
        <w:t>ts au dernier bilan (actif) : 1.</w:t>
      </w:r>
      <w:r w:rsidR="00111C2F" w:rsidRPr="0086696A">
        <w:rPr>
          <w:rFonts w:ascii="Calibri" w:hAnsi="Calibri"/>
          <w:color w:val="002060"/>
          <w:sz w:val="20"/>
          <w:szCs w:val="20"/>
        </w:rPr>
        <w:t>400.</w:t>
      </w:r>
      <w:r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Pr="0086696A">
        <w:rPr>
          <w:rFonts w:ascii="Calibri" w:hAnsi="Calibri"/>
          <w:color w:val="002060"/>
          <w:sz w:val="20"/>
          <w:szCs w:val="20"/>
        </w:rPr>
        <w:t xml:space="preserve"> (il est parfois nécessaire de retraiter ce montant en y ajoutant les effets escomptés non échus et les créances cédées au factor)</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 xml:space="preserve">Nombre de clients actifs : 250 </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Nombre de factures par an : 4</w:t>
      </w:r>
      <w:r w:rsidR="00A80205">
        <w:rPr>
          <w:rFonts w:ascii="Calibri" w:hAnsi="Calibri"/>
          <w:color w:val="002060"/>
          <w:sz w:val="20"/>
          <w:szCs w:val="20"/>
        </w:rPr>
        <w:t> </w:t>
      </w:r>
      <w:r w:rsidRPr="0086696A">
        <w:rPr>
          <w:rFonts w:ascii="Calibri" w:hAnsi="Calibri"/>
          <w:color w:val="002060"/>
          <w:sz w:val="20"/>
          <w:szCs w:val="20"/>
        </w:rPr>
        <w:t>500</w:t>
      </w:r>
    </w:p>
    <w:p w:rsidR="00A80205" w:rsidRDefault="007A3373" w:rsidP="00A80205">
      <w:pPr>
        <w:pStyle w:val="revuechapo"/>
        <w:spacing w:before="0" w:after="60"/>
        <w:ind w:left="0"/>
        <w:rPr>
          <w:rFonts w:ascii="Calibri" w:hAnsi="Calibri"/>
          <w:color w:val="002060"/>
          <w:sz w:val="20"/>
          <w:szCs w:val="20"/>
        </w:rPr>
      </w:pPr>
      <w:r w:rsidRPr="0086696A">
        <w:rPr>
          <w:rFonts w:ascii="Calibri" w:hAnsi="Calibri"/>
          <w:color w:val="002060"/>
          <w:sz w:val="20"/>
          <w:szCs w:val="20"/>
        </w:rPr>
        <w:t>Nombre d'</w:t>
      </w:r>
      <w:proofErr w:type="spellStart"/>
      <w:r w:rsidRPr="0086696A">
        <w:rPr>
          <w:rFonts w:ascii="Calibri" w:hAnsi="Calibri"/>
          <w:color w:val="002060"/>
          <w:sz w:val="20"/>
          <w:szCs w:val="20"/>
        </w:rPr>
        <w:t>avoirs</w:t>
      </w:r>
      <w:proofErr w:type="spellEnd"/>
      <w:r w:rsidRPr="0086696A">
        <w:rPr>
          <w:rFonts w:ascii="Calibri" w:hAnsi="Calibri"/>
          <w:color w:val="002060"/>
          <w:sz w:val="20"/>
          <w:szCs w:val="20"/>
        </w:rPr>
        <w:t xml:space="preserve"> par an : 600</w:t>
      </w:r>
      <w:bookmarkStart w:id="0" w:name="_GoBack"/>
      <w:bookmarkEnd w:id="0"/>
    </w:p>
    <w:p w:rsidR="007A3373" w:rsidRDefault="007A3373" w:rsidP="0034171E">
      <w:pPr>
        <w:pStyle w:val="revuechapo"/>
        <w:spacing w:before="0" w:after="120"/>
        <w:ind w:left="0"/>
        <w:rPr>
          <w:rFonts w:ascii="Calibri" w:hAnsi="Calibri" w:cs="Arial"/>
          <w:color w:val="002060"/>
          <w:sz w:val="20"/>
          <w:szCs w:val="20"/>
        </w:rPr>
      </w:pPr>
      <w:r w:rsidRPr="0086696A">
        <w:rPr>
          <w:rFonts w:ascii="Calibri" w:hAnsi="Calibri"/>
          <w:color w:val="002060"/>
          <w:sz w:val="20"/>
          <w:szCs w:val="20"/>
        </w:rPr>
        <w:t>Dotation aux dépréciations des créances douteuses (c</w:t>
      </w:r>
      <w:r w:rsidR="00111C2F" w:rsidRPr="0086696A">
        <w:rPr>
          <w:rFonts w:ascii="Calibri" w:hAnsi="Calibri"/>
          <w:color w:val="002060"/>
          <w:sz w:val="20"/>
          <w:szCs w:val="20"/>
        </w:rPr>
        <w:t>ompte de résultat) : 100.</w:t>
      </w:r>
      <w:r w:rsidRPr="0086696A">
        <w:rPr>
          <w:rFonts w:ascii="Calibri" w:hAnsi="Calibri"/>
          <w:color w:val="002060"/>
          <w:sz w:val="20"/>
          <w:szCs w:val="20"/>
        </w:rPr>
        <w:t xml:space="preserve">000 </w:t>
      </w:r>
      <w:r w:rsidR="00111C2F" w:rsidRPr="0086696A">
        <w:rPr>
          <w:rFonts w:ascii="Calibri" w:hAnsi="Calibri" w:cs="Arial"/>
          <w:color w:val="002060"/>
          <w:sz w:val="20"/>
          <w:szCs w:val="20"/>
        </w:rPr>
        <w:t>€</w:t>
      </w:r>
    </w:p>
    <w:p w:rsidR="00A80205" w:rsidRPr="00F5447E" w:rsidRDefault="00F5447E" w:rsidP="00A80205">
      <w:pPr>
        <w:pStyle w:val="revuetexte"/>
        <w:spacing w:after="60"/>
        <w:ind w:left="0"/>
        <w:jc w:val="both"/>
        <w:rPr>
          <w:rStyle w:val="lev"/>
          <w:rFonts w:ascii="Calibri" w:hAnsi="Calibri"/>
          <w:color w:val="002060"/>
          <w:sz w:val="21"/>
          <w:szCs w:val="21"/>
          <w:lang w:val="en-GB"/>
        </w:rPr>
      </w:pPr>
      <w:r w:rsidRPr="00F5447E">
        <w:rPr>
          <w:rStyle w:val="lev"/>
          <w:rFonts w:ascii="Calibri" w:hAnsi="Calibri"/>
          <w:color w:val="002060"/>
          <w:sz w:val="21"/>
          <w:szCs w:val="21"/>
          <w:lang w:val="en-GB"/>
        </w:rPr>
        <w:t xml:space="preserve">1. </w:t>
      </w:r>
      <w:proofErr w:type="spellStart"/>
      <w:r w:rsidRPr="00F5447E">
        <w:rPr>
          <w:rStyle w:val="lev"/>
          <w:rFonts w:ascii="Calibri" w:hAnsi="Calibri"/>
          <w:color w:val="002060"/>
          <w:sz w:val="21"/>
          <w:szCs w:val="21"/>
          <w:lang w:val="en-GB"/>
        </w:rPr>
        <w:t>Calcul</w:t>
      </w:r>
      <w:proofErr w:type="spellEnd"/>
      <w:r w:rsidRPr="00F5447E">
        <w:rPr>
          <w:rStyle w:val="lev"/>
          <w:rFonts w:ascii="Calibri" w:hAnsi="Calibri"/>
          <w:color w:val="002060"/>
          <w:sz w:val="21"/>
          <w:szCs w:val="21"/>
          <w:lang w:val="en-GB"/>
        </w:rPr>
        <w:t xml:space="preserve"> du DSO (days sales outstanding) </w:t>
      </w:r>
    </w:p>
    <w:p w:rsidR="00A80205" w:rsidRDefault="007A3373" w:rsidP="0034171E">
      <w:pPr>
        <w:pStyle w:val="revuetexte"/>
        <w:spacing w:after="60"/>
        <w:ind w:left="0"/>
        <w:jc w:val="both"/>
        <w:rPr>
          <w:rFonts w:ascii="Calibri" w:hAnsi="Calibri"/>
          <w:color w:val="002060"/>
          <w:sz w:val="20"/>
          <w:szCs w:val="20"/>
        </w:rPr>
      </w:pPr>
      <w:r w:rsidRPr="0086696A">
        <w:rPr>
          <w:rStyle w:val="revueremarquetitre"/>
          <w:rFonts w:ascii="Calibri" w:hAnsi="Calibri"/>
          <w:color w:val="002060"/>
          <w:sz w:val="20"/>
          <w:szCs w:val="20"/>
        </w:rPr>
        <w:t xml:space="preserve">Exemple : </w:t>
      </w:r>
      <w:r w:rsidRPr="0086696A">
        <w:rPr>
          <w:rFonts w:ascii="Calibri" w:hAnsi="Calibri"/>
          <w:color w:val="002060"/>
          <w:sz w:val="20"/>
          <w:szCs w:val="20"/>
        </w:rPr>
        <w:t xml:space="preserve">(Poste clients) X 360/CA annuel TTC = 84 jours constatés, à comparer avec le délai contractuel : 84 - 45 = 39 jours de retard moyen de paiement. </w:t>
      </w:r>
    </w:p>
    <w:tbl>
      <w:tblPr>
        <w:tblStyle w:val="Grilledutableau"/>
        <w:tblW w:w="0" w:type="auto"/>
        <w:jc w:val="center"/>
        <w:shd w:val="clear" w:color="auto" w:fill="F2F2F2" w:themeFill="background1" w:themeFillShade="F2"/>
        <w:tblLook w:val="04A0" w:firstRow="1" w:lastRow="0" w:firstColumn="1" w:lastColumn="0" w:noHBand="0" w:noVBand="1"/>
      </w:tblPr>
      <w:tblGrid>
        <w:gridCol w:w="9493"/>
      </w:tblGrid>
      <w:tr w:rsidR="00A80205" w:rsidTr="00F5447E">
        <w:trPr>
          <w:jc w:val="center"/>
        </w:trPr>
        <w:tc>
          <w:tcPr>
            <w:tcW w:w="9493" w:type="dxa"/>
            <w:shd w:val="clear" w:color="auto" w:fill="F2F2F2" w:themeFill="background1" w:themeFillShade="F2"/>
          </w:tcPr>
          <w:p w:rsidR="00A80205" w:rsidRDefault="00A80205" w:rsidP="00A80205">
            <w:pPr>
              <w:pStyle w:val="revuetexte"/>
              <w:spacing w:before="60" w:after="60"/>
              <w:ind w:left="0"/>
              <w:jc w:val="both"/>
              <w:rPr>
                <w:rFonts w:ascii="Calibri" w:hAnsi="Calibri"/>
                <w:color w:val="002060"/>
                <w:sz w:val="20"/>
                <w:szCs w:val="20"/>
              </w:rPr>
            </w:pPr>
            <w:r w:rsidRPr="0086696A">
              <w:rPr>
                <w:rFonts w:ascii="Calibri" w:hAnsi="Calibri"/>
                <w:color w:val="002060"/>
                <w:sz w:val="20"/>
                <w:szCs w:val="20"/>
              </w:rPr>
              <w:t>En France, un quart des défaillances d'entreprises est dû aux retards de paiement et des études ont montré que :</w:t>
            </w:r>
          </w:p>
          <w:p w:rsidR="00A80205" w:rsidRDefault="00A80205" w:rsidP="00A80205">
            <w:pPr>
              <w:pStyle w:val="revuetexte"/>
              <w:spacing w:after="60"/>
              <w:ind w:left="0"/>
              <w:jc w:val="both"/>
              <w:rPr>
                <w:rFonts w:ascii="Calibri" w:hAnsi="Calibri"/>
                <w:color w:val="002060"/>
                <w:sz w:val="20"/>
                <w:szCs w:val="20"/>
              </w:rPr>
            </w:pPr>
            <w:r w:rsidRPr="0086696A">
              <w:rPr>
                <w:rFonts w:ascii="Calibri" w:hAnsi="Calibri"/>
                <w:color w:val="002060"/>
                <w:sz w:val="20"/>
                <w:szCs w:val="20"/>
              </w:rPr>
              <w:t>- à partir de 30 jours de retard, la probabilité de défaillance est multipliée par 6 ;</w:t>
            </w:r>
          </w:p>
          <w:p w:rsidR="00A80205" w:rsidRDefault="00A80205" w:rsidP="00A80205">
            <w:pPr>
              <w:pStyle w:val="revuetexte"/>
              <w:ind w:left="0"/>
              <w:jc w:val="both"/>
              <w:rPr>
                <w:rFonts w:ascii="Calibri" w:hAnsi="Calibri"/>
                <w:color w:val="002060"/>
                <w:sz w:val="20"/>
                <w:szCs w:val="20"/>
              </w:rPr>
            </w:pPr>
            <w:r w:rsidRPr="0086696A">
              <w:rPr>
                <w:rFonts w:ascii="Calibri" w:hAnsi="Calibri"/>
                <w:color w:val="002060"/>
                <w:sz w:val="20"/>
                <w:szCs w:val="20"/>
              </w:rPr>
              <w:t xml:space="preserve">- et au bout de 69 jours de retard, elle est multipliée par 11. </w:t>
            </w:r>
          </w:p>
          <w:p w:rsidR="00F5447E" w:rsidRDefault="00F5447E" w:rsidP="00A80205">
            <w:pPr>
              <w:pStyle w:val="revuetexte"/>
              <w:ind w:left="0"/>
              <w:jc w:val="both"/>
              <w:rPr>
                <w:rFonts w:ascii="Calibri" w:hAnsi="Calibri"/>
                <w:color w:val="002060"/>
                <w:sz w:val="20"/>
                <w:szCs w:val="20"/>
              </w:rPr>
            </w:pPr>
            <w:r w:rsidRPr="0086696A">
              <w:rPr>
                <w:rStyle w:val="lev"/>
                <w:rFonts w:ascii="Calibri" w:hAnsi="Calibri"/>
                <w:color w:val="002060"/>
                <w:sz w:val="20"/>
                <w:szCs w:val="20"/>
              </w:rPr>
              <w:t>Le délai de paiement moyen (DSO) est donc un bon indicateur.</w:t>
            </w:r>
          </w:p>
        </w:tc>
      </w:tr>
    </w:tbl>
    <w:p w:rsidR="0031454F" w:rsidRPr="00F5447E" w:rsidRDefault="00F5447E" w:rsidP="0034171E">
      <w:pPr>
        <w:pStyle w:val="revuetexte"/>
        <w:spacing w:before="60" w:after="120"/>
        <w:ind w:left="0"/>
        <w:jc w:val="both"/>
        <w:rPr>
          <w:rFonts w:ascii="Calibri" w:hAnsi="Calibri"/>
          <w:color w:val="002060"/>
          <w:sz w:val="20"/>
          <w:szCs w:val="20"/>
        </w:rPr>
      </w:pPr>
      <w:r w:rsidRPr="00F5447E">
        <w:rPr>
          <w:rStyle w:val="lev"/>
          <w:rFonts w:ascii="Calibri" w:hAnsi="Calibri"/>
          <w:b w:val="0"/>
          <w:color w:val="002060"/>
          <w:sz w:val="20"/>
          <w:szCs w:val="20"/>
        </w:rPr>
        <w:t>Il est préférable de</w:t>
      </w:r>
      <w:r w:rsidRPr="00F5447E">
        <w:rPr>
          <w:rStyle w:val="lev"/>
          <w:rFonts w:ascii="Calibri" w:hAnsi="Calibri"/>
          <w:color w:val="002060"/>
          <w:sz w:val="20"/>
          <w:szCs w:val="20"/>
        </w:rPr>
        <w:t xml:space="preserve"> </w:t>
      </w:r>
      <w:r w:rsidR="007A3373" w:rsidRPr="00F5447E">
        <w:rPr>
          <w:rFonts w:ascii="Calibri" w:hAnsi="Calibri"/>
          <w:color w:val="002060"/>
          <w:sz w:val="20"/>
          <w:szCs w:val="20"/>
        </w:rPr>
        <w:t>calculer le DSO par la méthode de l'épuisement et rapprocher leurs chiffres du Best Possible DSO.</w:t>
      </w:r>
    </w:p>
    <w:p w:rsidR="00F5447E" w:rsidRPr="00F5447E" w:rsidRDefault="00F5447E" w:rsidP="00F5447E">
      <w:pPr>
        <w:pStyle w:val="revuetexte"/>
        <w:spacing w:after="60"/>
        <w:ind w:left="0"/>
        <w:jc w:val="both"/>
        <w:rPr>
          <w:rStyle w:val="lev"/>
          <w:rFonts w:ascii="Calibri" w:hAnsi="Calibri"/>
          <w:color w:val="002060"/>
          <w:sz w:val="21"/>
          <w:szCs w:val="21"/>
        </w:rPr>
      </w:pPr>
      <w:r w:rsidRPr="00F5447E">
        <w:rPr>
          <w:rStyle w:val="lev"/>
          <w:rFonts w:ascii="Calibri" w:hAnsi="Calibri"/>
          <w:color w:val="002060"/>
          <w:sz w:val="21"/>
          <w:szCs w:val="21"/>
        </w:rPr>
        <w:t xml:space="preserve">2. Risques constatés </w:t>
      </w:r>
    </w:p>
    <w:p w:rsidR="00F5447E" w:rsidRDefault="007A3373" w:rsidP="00F5447E">
      <w:pPr>
        <w:pStyle w:val="revuetexte"/>
        <w:spacing w:after="60"/>
        <w:ind w:left="0"/>
        <w:jc w:val="both"/>
        <w:rPr>
          <w:rFonts w:ascii="Calibri" w:hAnsi="Calibri"/>
          <w:color w:val="002060"/>
          <w:sz w:val="20"/>
          <w:szCs w:val="20"/>
        </w:rPr>
      </w:pPr>
      <w:r w:rsidRPr="0086696A">
        <w:rPr>
          <w:rStyle w:val="revueremarquetitre"/>
          <w:rFonts w:ascii="Calibri" w:hAnsi="Calibri"/>
          <w:color w:val="002060"/>
          <w:sz w:val="20"/>
          <w:szCs w:val="20"/>
        </w:rPr>
        <w:t xml:space="preserve">Exemple : </w:t>
      </w:r>
      <w:r w:rsidRPr="0086696A">
        <w:rPr>
          <w:rFonts w:ascii="Calibri" w:hAnsi="Calibri"/>
          <w:color w:val="002060"/>
          <w:sz w:val="20"/>
          <w:szCs w:val="20"/>
        </w:rPr>
        <w:t>(Dot. annuelle dépréciations des créances douteuses) X 100/CA annuel TTC = 1,67 %</w:t>
      </w:r>
    </w:p>
    <w:p w:rsidR="007A3373" w:rsidRPr="0086696A" w:rsidRDefault="007A3373" w:rsidP="00F5447E">
      <w:pPr>
        <w:pStyle w:val="revuetexte"/>
        <w:spacing w:after="120"/>
        <w:ind w:left="0"/>
        <w:jc w:val="both"/>
        <w:rPr>
          <w:rFonts w:ascii="Calibri" w:hAnsi="Calibri"/>
          <w:color w:val="002060"/>
          <w:sz w:val="20"/>
          <w:szCs w:val="20"/>
        </w:rPr>
      </w:pPr>
      <w:r w:rsidRPr="0086696A">
        <w:rPr>
          <w:rFonts w:ascii="Calibri" w:hAnsi="Calibri"/>
          <w:color w:val="002060"/>
          <w:sz w:val="20"/>
          <w:szCs w:val="20"/>
        </w:rPr>
        <w:t xml:space="preserve">Dans cet exemple, 1,67 % du chiffre d'affaires annuel est donc perdu car non recouvré. </w:t>
      </w:r>
      <w:r w:rsidRPr="0086696A">
        <w:rPr>
          <w:rStyle w:val="lev"/>
          <w:rFonts w:ascii="Calibri" w:hAnsi="Calibri"/>
          <w:color w:val="002060"/>
          <w:sz w:val="20"/>
          <w:szCs w:val="20"/>
        </w:rPr>
        <w:t xml:space="preserve">Le % moyen en France de chiffre d'affaires non recouvré est de 0,5 %. </w:t>
      </w:r>
    </w:p>
    <w:p w:rsidR="00F5447E" w:rsidRPr="00F5447E" w:rsidRDefault="00F5447E" w:rsidP="00F5447E">
      <w:pPr>
        <w:pStyle w:val="revuetexte"/>
        <w:ind w:left="0"/>
        <w:jc w:val="both"/>
        <w:rPr>
          <w:rStyle w:val="lev"/>
          <w:rFonts w:ascii="Calibri" w:hAnsi="Calibri"/>
          <w:color w:val="002060"/>
          <w:sz w:val="21"/>
          <w:szCs w:val="21"/>
        </w:rPr>
      </w:pPr>
      <w:r w:rsidRPr="00F5447E">
        <w:rPr>
          <w:rStyle w:val="lev"/>
          <w:rFonts w:ascii="Calibri" w:hAnsi="Calibri"/>
          <w:color w:val="002060"/>
          <w:sz w:val="21"/>
          <w:szCs w:val="21"/>
        </w:rPr>
        <w:t xml:space="preserve">3. Répartition des risques </w:t>
      </w:r>
    </w:p>
    <w:p w:rsidR="00F5447E" w:rsidRDefault="007A3373" w:rsidP="00F5447E">
      <w:pPr>
        <w:pStyle w:val="revuetexte"/>
        <w:ind w:left="0"/>
        <w:jc w:val="both"/>
        <w:rPr>
          <w:rFonts w:ascii="Calibri" w:hAnsi="Calibri"/>
          <w:color w:val="002060"/>
          <w:sz w:val="20"/>
          <w:szCs w:val="20"/>
        </w:rPr>
      </w:pPr>
      <w:r w:rsidRPr="0086696A">
        <w:rPr>
          <w:rStyle w:val="revueremarquetitre"/>
          <w:rFonts w:ascii="Calibri" w:hAnsi="Calibri"/>
          <w:color w:val="002060"/>
          <w:sz w:val="20"/>
          <w:szCs w:val="20"/>
        </w:rPr>
        <w:t xml:space="preserve">Exemple : </w:t>
      </w:r>
      <w:r w:rsidRPr="0086696A">
        <w:rPr>
          <w:rFonts w:ascii="Calibri" w:hAnsi="Calibri"/>
          <w:color w:val="002060"/>
          <w:sz w:val="20"/>
          <w:szCs w:val="20"/>
        </w:rPr>
        <w:t>(Chiffre d'affaires du plus gros client) X 100/(CA annuel TTC) = 5 %</w:t>
      </w:r>
      <w:r w:rsidR="0031454F" w:rsidRPr="0086696A">
        <w:rPr>
          <w:rFonts w:ascii="Calibri" w:hAnsi="Calibri"/>
          <w:color w:val="002060"/>
          <w:sz w:val="20"/>
          <w:szCs w:val="20"/>
        </w:rPr>
        <w:t xml:space="preserve"> - </w:t>
      </w:r>
      <w:r w:rsidRPr="0086696A">
        <w:rPr>
          <w:rFonts w:ascii="Calibri" w:hAnsi="Calibri"/>
          <w:color w:val="002060"/>
          <w:sz w:val="20"/>
          <w:szCs w:val="20"/>
        </w:rPr>
        <w:t>(Chiffre d'affaires des 20 plus gros clients) X 100/(CA annuel TTC) = 17 %</w:t>
      </w:r>
    </w:p>
    <w:tbl>
      <w:tblPr>
        <w:tblStyle w:val="Grilledutableau"/>
        <w:tblW w:w="0" w:type="auto"/>
        <w:jc w:val="center"/>
        <w:shd w:val="clear" w:color="auto" w:fill="F2F2F2" w:themeFill="background1" w:themeFillShade="F2"/>
        <w:tblLook w:val="04A0" w:firstRow="1" w:lastRow="0" w:firstColumn="1" w:lastColumn="0" w:noHBand="0" w:noVBand="1"/>
      </w:tblPr>
      <w:tblGrid>
        <w:gridCol w:w="9493"/>
      </w:tblGrid>
      <w:tr w:rsidR="00F5447E" w:rsidTr="00496D00">
        <w:trPr>
          <w:jc w:val="center"/>
        </w:trPr>
        <w:tc>
          <w:tcPr>
            <w:tcW w:w="9493" w:type="dxa"/>
            <w:shd w:val="clear" w:color="auto" w:fill="F2F2F2" w:themeFill="background1" w:themeFillShade="F2"/>
          </w:tcPr>
          <w:p w:rsidR="00F5447E" w:rsidRDefault="00F5447E" w:rsidP="00F5447E">
            <w:pPr>
              <w:pStyle w:val="revuetexte"/>
              <w:spacing w:before="60" w:after="60"/>
              <w:ind w:left="170" w:right="170"/>
              <w:jc w:val="both"/>
              <w:rPr>
                <w:rStyle w:val="lev"/>
                <w:rFonts w:ascii="Calibri" w:hAnsi="Calibri"/>
                <w:color w:val="002060"/>
                <w:sz w:val="20"/>
                <w:szCs w:val="20"/>
              </w:rPr>
            </w:pPr>
            <w:r w:rsidRPr="0086696A">
              <w:rPr>
                <w:rFonts w:ascii="Calibri" w:hAnsi="Calibri"/>
                <w:color w:val="002060"/>
                <w:sz w:val="20"/>
                <w:szCs w:val="20"/>
              </w:rPr>
              <w:t>Pour maîtriser le risque, il est important de limiter le poids de son plus gros client dans son chiffre d'affaires dans la mesure du possible (hors certaines relations de  sous-traitance, par exemple).</w:t>
            </w:r>
            <w:r w:rsidRPr="0086696A">
              <w:rPr>
                <w:rStyle w:val="lev"/>
                <w:rFonts w:ascii="Calibri" w:hAnsi="Calibri"/>
                <w:color w:val="002060"/>
                <w:sz w:val="20"/>
                <w:szCs w:val="20"/>
              </w:rPr>
              <w:t xml:space="preserve"> </w:t>
            </w:r>
          </w:p>
          <w:p w:rsidR="00F5447E" w:rsidRDefault="00F5447E" w:rsidP="00F5447E">
            <w:pPr>
              <w:pStyle w:val="revuetexte"/>
              <w:spacing w:after="60"/>
              <w:ind w:left="170" w:right="170"/>
              <w:jc w:val="both"/>
              <w:rPr>
                <w:rFonts w:ascii="Calibri" w:hAnsi="Calibri"/>
                <w:color w:val="002060"/>
                <w:sz w:val="20"/>
                <w:szCs w:val="20"/>
              </w:rPr>
            </w:pPr>
            <w:r w:rsidRPr="0086696A">
              <w:rPr>
                <w:rStyle w:val="lev"/>
                <w:rFonts w:ascii="Calibri" w:hAnsi="Calibri"/>
                <w:color w:val="002060"/>
                <w:sz w:val="20"/>
                <w:szCs w:val="20"/>
              </w:rPr>
              <w:t>L'idéal, en moyenne, est que le plus gros client représente toujours moins de 10 % du chiffre d'affaires total.</w:t>
            </w:r>
          </w:p>
        </w:tc>
      </w:tr>
    </w:tbl>
    <w:p w:rsidR="00F5447E" w:rsidRDefault="00F5447E" w:rsidP="0034171E">
      <w:pPr>
        <w:pStyle w:val="revuetexte"/>
        <w:spacing w:before="120" w:after="60"/>
        <w:ind w:left="0"/>
        <w:jc w:val="both"/>
        <w:rPr>
          <w:rStyle w:val="lev"/>
          <w:rFonts w:ascii="Calibri" w:hAnsi="Calibri"/>
          <w:color w:val="002060"/>
          <w:sz w:val="21"/>
          <w:szCs w:val="21"/>
        </w:rPr>
      </w:pPr>
      <w:r w:rsidRPr="00F5447E">
        <w:rPr>
          <w:rStyle w:val="lev"/>
          <w:rFonts w:ascii="Calibri" w:hAnsi="Calibri"/>
          <w:color w:val="002060"/>
          <w:sz w:val="21"/>
          <w:szCs w:val="21"/>
        </w:rPr>
        <w:t xml:space="preserve">4. Poids moyen d'un client </w:t>
      </w:r>
    </w:p>
    <w:tbl>
      <w:tblPr>
        <w:tblStyle w:val="Grilledutableau"/>
        <w:tblW w:w="0" w:type="auto"/>
        <w:jc w:val="center"/>
        <w:shd w:val="clear" w:color="auto" w:fill="F2F2F2" w:themeFill="background1" w:themeFillShade="F2"/>
        <w:tblLook w:val="04A0" w:firstRow="1" w:lastRow="0" w:firstColumn="1" w:lastColumn="0" w:noHBand="0" w:noVBand="1"/>
      </w:tblPr>
      <w:tblGrid>
        <w:gridCol w:w="9493"/>
      </w:tblGrid>
      <w:tr w:rsidR="00F5447E" w:rsidTr="00496D00">
        <w:trPr>
          <w:jc w:val="center"/>
        </w:trPr>
        <w:tc>
          <w:tcPr>
            <w:tcW w:w="9493" w:type="dxa"/>
            <w:shd w:val="clear" w:color="auto" w:fill="F2F2F2" w:themeFill="background1" w:themeFillShade="F2"/>
          </w:tcPr>
          <w:p w:rsidR="00F5447E" w:rsidRPr="00F5447E" w:rsidRDefault="00F5447E" w:rsidP="00496D00">
            <w:pPr>
              <w:pStyle w:val="revuetexte"/>
              <w:spacing w:before="60" w:after="60"/>
              <w:ind w:left="170" w:right="170"/>
              <w:jc w:val="both"/>
              <w:rPr>
                <w:rFonts w:ascii="Calibri" w:hAnsi="Calibri"/>
                <w:b/>
                <w:bCs/>
                <w:color w:val="002060"/>
                <w:sz w:val="20"/>
                <w:szCs w:val="20"/>
              </w:rPr>
            </w:pPr>
            <w:r w:rsidRPr="0086696A">
              <w:rPr>
                <w:rStyle w:val="lev"/>
                <w:rFonts w:ascii="Calibri" w:hAnsi="Calibri"/>
                <w:color w:val="002060"/>
                <w:sz w:val="20"/>
                <w:szCs w:val="20"/>
              </w:rPr>
              <w:t xml:space="preserve">En moyenne, par an, 2 % des entreprises françaises sont défaillantes. </w:t>
            </w:r>
          </w:p>
        </w:tc>
      </w:tr>
    </w:tbl>
    <w:p w:rsidR="00F5447E" w:rsidRDefault="007A3373" w:rsidP="00F5447E">
      <w:pPr>
        <w:pStyle w:val="revuetexte"/>
        <w:spacing w:before="120" w:after="60"/>
        <w:ind w:left="0"/>
        <w:jc w:val="both"/>
        <w:rPr>
          <w:rFonts w:ascii="Calibri" w:hAnsi="Calibri"/>
          <w:color w:val="002060"/>
          <w:sz w:val="20"/>
          <w:szCs w:val="20"/>
        </w:rPr>
      </w:pPr>
      <w:r w:rsidRPr="0034171E">
        <w:rPr>
          <w:rStyle w:val="revueremarquetitre"/>
          <w:rFonts w:ascii="Calibri" w:hAnsi="Calibri"/>
          <w:b w:val="0"/>
          <w:color w:val="002060"/>
          <w:sz w:val="20"/>
          <w:szCs w:val="20"/>
        </w:rPr>
        <w:t>Exemple</w:t>
      </w:r>
      <w:r w:rsidRPr="0086696A">
        <w:rPr>
          <w:rStyle w:val="revueremarquetitre"/>
          <w:rFonts w:ascii="Calibri" w:hAnsi="Calibri"/>
          <w:color w:val="002060"/>
          <w:sz w:val="20"/>
          <w:szCs w:val="20"/>
        </w:rPr>
        <w:t xml:space="preserve"> : </w:t>
      </w:r>
      <w:r w:rsidRPr="0086696A">
        <w:rPr>
          <w:rFonts w:ascii="Calibri" w:hAnsi="Calibri"/>
          <w:color w:val="002060"/>
          <w:sz w:val="20"/>
          <w:szCs w:val="20"/>
        </w:rPr>
        <w:t xml:space="preserve">(Chiffre d'affaires </w:t>
      </w:r>
      <w:proofErr w:type="gramStart"/>
      <w:r w:rsidRPr="0086696A">
        <w:rPr>
          <w:rFonts w:ascii="Calibri" w:hAnsi="Calibri"/>
          <w:color w:val="002060"/>
          <w:sz w:val="20"/>
          <w:szCs w:val="20"/>
        </w:rPr>
        <w:t>annuel)/</w:t>
      </w:r>
      <w:proofErr w:type="gramEnd"/>
      <w:r w:rsidR="00111C2F" w:rsidRPr="0086696A">
        <w:rPr>
          <w:rFonts w:ascii="Calibri" w:hAnsi="Calibri"/>
          <w:color w:val="002060"/>
          <w:sz w:val="20"/>
          <w:szCs w:val="20"/>
        </w:rPr>
        <w:t>(Nombre de clients actifs) = 24.</w:t>
      </w:r>
      <w:r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Pr="0086696A">
        <w:rPr>
          <w:rFonts w:ascii="Calibri" w:hAnsi="Calibri"/>
          <w:color w:val="002060"/>
          <w:sz w:val="20"/>
          <w:szCs w:val="20"/>
        </w:rPr>
        <w:t>.</w:t>
      </w:r>
    </w:p>
    <w:p w:rsidR="00F5447E" w:rsidRDefault="007A3373" w:rsidP="00F5447E">
      <w:pPr>
        <w:pStyle w:val="revuetexte"/>
        <w:spacing w:before="60" w:after="60"/>
        <w:ind w:left="0"/>
        <w:jc w:val="both"/>
        <w:rPr>
          <w:rFonts w:ascii="Calibri" w:hAnsi="Calibri"/>
          <w:color w:val="002060"/>
          <w:sz w:val="20"/>
          <w:szCs w:val="20"/>
        </w:rPr>
      </w:pPr>
      <w:r w:rsidRPr="0086696A">
        <w:rPr>
          <w:rFonts w:ascii="Calibri" w:hAnsi="Calibri"/>
          <w:color w:val="002060"/>
          <w:sz w:val="20"/>
          <w:szCs w:val="20"/>
        </w:rPr>
        <w:t>Dans l'exemple, statistiquement, 2 % des 250 clients devraient ainsi être défaillants dans l'année, soit 5 d'entre eux.</w:t>
      </w:r>
    </w:p>
    <w:p w:rsidR="00F5447E" w:rsidRDefault="007A3373" w:rsidP="00F5447E">
      <w:pPr>
        <w:pStyle w:val="revuetexte"/>
        <w:spacing w:after="60"/>
        <w:ind w:left="0"/>
        <w:jc w:val="both"/>
        <w:rPr>
          <w:rFonts w:ascii="Calibri" w:hAnsi="Calibri"/>
          <w:color w:val="002060"/>
          <w:sz w:val="20"/>
          <w:szCs w:val="20"/>
        </w:rPr>
      </w:pPr>
      <w:r w:rsidRPr="0086696A">
        <w:rPr>
          <w:rFonts w:ascii="Calibri" w:hAnsi="Calibri"/>
          <w:color w:val="002060"/>
          <w:sz w:val="20"/>
          <w:szCs w:val="20"/>
        </w:rPr>
        <w:t>• Le risque moyen estimé en fonction du chiffre d'affaires moyen annuel par</w:t>
      </w:r>
      <w:r w:rsidR="00111C2F" w:rsidRPr="0086696A">
        <w:rPr>
          <w:rFonts w:ascii="Calibri" w:hAnsi="Calibri"/>
          <w:color w:val="002060"/>
          <w:sz w:val="20"/>
          <w:szCs w:val="20"/>
        </w:rPr>
        <w:t xml:space="preserve"> client est de 5 X 24 000 = 120.</w:t>
      </w:r>
      <w:r w:rsidRPr="0086696A">
        <w:rPr>
          <w:rFonts w:ascii="Calibri" w:hAnsi="Calibri"/>
          <w:color w:val="002060"/>
          <w:sz w:val="20"/>
          <w:szCs w:val="20"/>
        </w:rPr>
        <w:t>000 </w:t>
      </w:r>
      <w:r w:rsidR="00111C2F" w:rsidRPr="0086696A">
        <w:rPr>
          <w:rFonts w:ascii="Calibri" w:hAnsi="Calibri" w:cs="Arial"/>
          <w:color w:val="002060"/>
          <w:sz w:val="20"/>
          <w:szCs w:val="20"/>
        </w:rPr>
        <w:t>€</w:t>
      </w:r>
      <w:r w:rsidRPr="0086696A">
        <w:rPr>
          <w:rFonts w:ascii="Calibri" w:hAnsi="Calibri"/>
          <w:color w:val="002060"/>
          <w:sz w:val="20"/>
          <w:szCs w:val="20"/>
        </w:rPr>
        <w:t>.</w:t>
      </w:r>
    </w:p>
    <w:p w:rsidR="00F5447E" w:rsidRDefault="007A3373" w:rsidP="00F5447E">
      <w:pPr>
        <w:pStyle w:val="revuetexte"/>
        <w:spacing w:after="60"/>
        <w:ind w:left="0"/>
        <w:jc w:val="both"/>
        <w:rPr>
          <w:rFonts w:ascii="Calibri" w:hAnsi="Calibri"/>
          <w:color w:val="002060"/>
          <w:sz w:val="20"/>
          <w:szCs w:val="20"/>
        </w:rPr>
      </w:pPr>
      <w:r w:rsidRPr="0086696A">
        <w:rPr>
          <w:rFonts w:ascii="Calibri" w:hAnsi="Calibri"/>
          <w:color w:val="002060"/>
          <w:sz w:val="20"/>
          <w:szCs w:val="20"/>
        </w:rPr>
        <w:t xml:space="preserve">• Si le plus gros client fait partie de ces 5 entreprises, </w:t>
      </w:r>
      <w:r w:rsidR="00111C2F" w:rsidRPr="0086696A">
        <w:rPr>
          <w:rFonts w:ascii="Calibri" w:hAnsi="Calibri"/>
          <w:color w:val="002060"/>
          <w:sz w:val="20"/>
          <w:szCs w:val="20"/>
        </w:rPr>
        <w:t>le risque est au minimum de 300.</w:t>
      </w:r>
      <w:r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Pr="0086696A">
        <w:rPr>
          <w:rFonts w:ascii="Calibri" w:hAnsi="Calibri"/>
          <w:color w:val="002060"/>
          <w:sz w:val="20"/>
          <w:szCs w:val="20"/>
        </w:rPr>
        <w:t>.</w:t>
      </w:r>
    </w:p>
    <w:p w:rsidR="00F5447E" w:rsidRDefault="007A3373" w:rsidP="00F5447E">
      <w:pPr>
        <w:pStyle w:val="revuetexte"/>
        <w:spacing w:after="60"/>
        <w:ind w:left="0"/>
        <w:jc w:val="both"/>
        <w:rPr>
          <w:rFonts w:ascii="Calibri" w:hAnsi="Calibri"/>
          <w:color w:val="002060"/>
          <w:sz w:val="20"/>
          <w:szCs w:val="20"/>
        </w:rPr>
      </w:pPr>
      <w:r w:rsidRPr="0086696A">
        <w:rPr>
          <w:rFonts w:ascii="Calibri" w:hAnsi="Calibri"/>
          <w:color w:val="002060"/>
          <w:sz w:val="20"/>
          <w:szCs w:val="20"/>
        </w:rPr>
        <w:t>• Si l'on suppose que les 5 défaillances appartiennent aux 20 plus gros clien</w:t>
      </w:r>
      <w:r w:rsidR="00111C2F" w:rsidRPr="0086696A">
        <w:rPr>
          <w:rFonts w:ascii="Calibri" w:hAnsi="Calibri"/>
          <w:color w:val="002060"/>
          <w:sz w:val="20"/>
          <w:szCs w:val="20"/>
        </w:rPr>
        <w:t>ts, on a un risque de 5/20 de 1.000.</w:t>
      </w:r>
      <w:r w:rsidR="006637B9">
        <w:rPr>
          <w:rFonts w:ascii="Calibri" w:hAnsi="Calibri"/>
          <w:color w:val="002060"/>
          <w:sz w:val="20"/>
          <w:szCs w:val="20"/>
        </w:rPr>
        <w:t>000, soit de 250.</w:t>
      </w:r>
      <w:r w:rsidRPr="0086696A">
        <w:rPr>
          <w:rFonts w:ascii="Calibri" w:hAnsi="Calibri"/>
          <w:color w:val="002060"/>
          <w:sz w:val="20"/>
          <w:szCs w:val="20"/>
        </w:rPr>
        <w:t>000 €.</w:t>
      </w:r>
    </w:p>
    <w:p w:rsidR="007A3373" w:rsidRPr="006637B9" w:rsidRDefault="007A3373" w:rsidP="0034171E">
      <w:pPr>
        <w:pStyle w:val="revuetexte"/>
        <w:spacing w:after="120"/>
        <w:ind w:left="0"/>
        <w:jc w:val="both"/>
        <w:rPr>
          <w:rFonts w:ascii="Calibri" w:hAnsi="Calibri"/>
          <w:color w:val="002060"/>
          <w:sz w:val="21"/>
          <w:szCs w:val="21"/>
        </w:rPr>
      </w:pPr>
      <w:r w:rsidRPr="0086696A">
        <w:rPr>
          <w:rStyle w:val="lev"/>
          <w:rFonts w:ascii="Calibri" w:hAnsi="Calibri"/>
          <w:color w:val="002060"/>
          <w:sz w:val="20"/>
          <w:szCs w:val="20"/>
        </w:rPr>
        <w:t>On peut rapprocher le risque moyen (120 000 €) de la dotation annuelle pour dépréciatio</w:t>
      </w:r>
      <w:r w:rsidR="00111C2F" w:rsidRPr="0086696A">
        <w:rPr>
          <w:rStyle w:val="lev"/>
          <w:rFonts w:ascii="Calibri" w:hAnsi="Calibri"/>
          <w:color w:val="002060"/>
          <w:sz w:val="20"/>
          <w:szCs w:val="20"/>
        </w:rPr>
        <w:t>n des créances douteuses de 100.</w:t>
      </w:r>
      <w:r w:rsidRPr="0086696A">
        <w:rPr>
          <w:rStyle w:val="lev"/>
          <w:rFonts w:ascii="Calibri" w:hAnsi="Calibri"/>
          <w:color w:val="002060"/>
          <w:sz w:val="20"/>
          <w:szCs w:val="20"/>
        </w:rPr>
        <w:t>000 €.</w:t>
      </w:r>
      <w:r w:rsidRPr="0086696A">
        <w:rPr>
          <w:rFonts w:ascii="Calibri" w:hAnsi="Calibri"/>
          <w:color w:val="002060"/>
          <w:sz w:val="20"/>
          <w:szCs w:val="20"/>
        </w:rPr>
        <w:t xml:space="preserve"> </w:t>
      </w:r>
    </w:p>
    <w:p w:rsidR="006637B9" w:rsidRDefault="006637B9" w:rsidP="0034171E">
      <w:pPr>
        <w:pStyle w:val="revuetexte"/>
        <w:spacing w:after="60"/>
        <w:ind w:left="0"/>
        <w:jc w:val="both"/>
        <w:rPr>
          <w:rStyle w:val="revueremarquetitre"/>
          <w:rFonts w:ascii="Calibri" w:hAnsi="Calibri"/>
          <w:color w:val="002060"/>
          <w:sz w:val="20"/>
          <w:szCs w:val="20"/>
        </w:rPr>
      </w:pPr>
      <w:r>
        <w:rPr>
          <w:rStyle w:val="lev"/>
          <w:rFonts w:ascii="Calibri" w:hAnsi="Calibri"/>
          <w:color w:val="002060"/>
          <w:sz w:val="21"/>
          <w:szCs w:val="21"/>
        </w:rPr>
        <w:t xml:space="preserve">5. </w:t>
      </w:r>
      <w:r w:rsidR="00F5447E" w:rsidRPr="00F5447E">
        <w:rPr>
          <w:rStyle w:val="lev"/>
          <w:rFonts w:ascii="Calibri" w:hAnsi="Calibri"/>
          <w:color w:val="002060"/>
          <w:sz w:val="21"/>
          <w:szCs w:val="21"/>
        </w:rPr>
        <w:t xml:space="preserve">Qualité de la facturation </w:t>
      </w:r>
      <w:r w:rsidR="007A3373" w:rsidRPr="0086696A">
        <w:rPr>
          <w:rStyle w:val="revueremarquetitre"/>
          <w:rFonts w:ascii="Calibri" w:hAnsi="Calibri"/>
          <w:color w:val="002060"/>
          <w:sz w:val="20"/>
          <w:szCs w:val="20"/>
        </w:rPr>
        <w:t xml:space="preserve">Exemple : </w:t>
      </w:r>
    </w:p>
    <w:p w:rsidR="006637B9" w:rsidRDefault="007A3373" w:rsidP="006637B9">
      <w:pPr>
        <w:pStyle w:val="revuetexte"/>
        <w:ind w:left="0"/>
        <w:jc w:val="both"/>
        <w:rPr>
          <w:rFonts w:ascii="Calibri" w:hAnsi="Calibri"/>
          <w:color w:val="002060"/>
          <w:sz w:val="20"/>
          <w:szCs w:val="20"/>
        </w:rPr>
      </w:pPr>
      <w:r w:rsidRPr="0086696A">
        <w:rPr>
          <w:rFonts w:ascii="Calibri" w:hAnsi="Calibri"/>
          <w:color w:val="002060"/>
          <w:sz w:val="20"/>
          <w:szCs w:val="20"/>
        </w:rPr>
        <w:t>(Nombre d'</w:t>
      </w:r>
      <w:proofErr w:type="spellStart"/>
      <w:r w:rsidRPr="0086696A">
        <w:rPr>
          <w:rFonts w:ascii="Calibri" w:hAnsi="Calibri"/>
          <w:color w:val="002060"/>
          <w:sz w:val="20"/>
          <w:szCs w:val="20"/>
        </w:rPr>
        <w:t>avoirs</w:t>
      </w:r>
      <w:proofErr w:type="spellEnd"/>
      <w:r w:rsidRPr="0086696A">
        <w:rPr>
          <w:rFonts w:ascii="Calibri" w:hAnsi="Calibri"/>
          <w:color w:val="002060"/>
          <w:sz w:val="20"/>
          <w:szCs w:val="20"/>
        </w:rPr>
        <w:t>) X 100/(Nombre de factures) = 13,33 %.</w:t>
      </w:r>
    </w:p>
    <w:tbl>
      <w:tblPr>
        <w:tblStyle w:val="Grilledutableau"/>
        <w:tblW w:w="0" w:type="auto"/>
        <w:jc w:val="center"/>
        <w:shd w:val="clear" w:color="auto" w:fill="F2F2F2" w:themeFill="background1" w:themeFillShade="F2"/>
        <w:tblLook w:val="04A0" w:firstRow="1" w:lastRow="0" w:firstColumn="1" w:lastColumn="0" w:noHBand="0" w:noVBand="1"/>
      </w:tblPr>
      <w:tblGrid>
        <w:gridCol w:w="9493"/>
      </w:tblGrid>
      <w:tr w:rsidR="006637B9" w:rsidTr="00496D00">
        <w:trPr>
          <w:jc w:val="center"/>
        </w:trPr>
        <w:tc>
          <w:tcPr>
            <w:tcW w:w="9493" w:type="dxa"/>
            <w:shd w:val="clear" w:color="auto" w:fill="F2F2F2" w:themeFill="background1" w:themeFillShade="F2"/>
          </w:tcPr>
          <w:p w:rsidR="006637B9" w:rsidRDefault="006637B9" w:rsidP="006637B9">
            <w:pPr>
              <w:pStyle w:val="revuetexte"/>
              <w:spacing w:before="60" w:after="0"/>
              <w:ind w:left="170" w:right="170"/>
              <w:jc w:val="both"/>
              <w:rPr>
                <w:rStyle w:val="lev"/>
                <w:rFonts w:ascii="Calibri" w:hAnsi="Calibri"/>
                <w:color w:val="002060"/>
                <w:sz w:val="20"/>
                <w:szCs w:val="20"/>
              </w:rPr>
            </w:pPr>
            <w:r w:rsidRPr="0086696A">
              <w:rPr>
                <w:rStyle w:val="lev"/>
                <w:rFonts w:ascii="Calibri" w:hAnsi="Calibri"/>
                <w:color w:val="002060"/>
                <w:sz w:val="20"/>
                <w:szCs w:val="20"/>
              </w:rPr>
              <w:t>En moyenne, et sauf certaines pratiques spécifiques à des secteurs d'activité, on considère que ce rat</w:t>
            </w:r>
            <w:r>
              <w:rPr>
                <w:rStyle w:val="lev"/>
                <w:rFonts w:ascii="Calibri" w:hAnsi="Calibri"/>
                <w:color w:val="002060"/>
                <w:sz w:val="20"/>
                <w:szCs w:val="20"/>
              </w:rPr>
              <w:t xml:space="preserve">io </w:t>
            </w:r>
          </w:p>
          <w:p w:rsidR="006637B9" w:rsidRPr="00F5447E" w:rsidRDefault="006637B9" w:rsidP="006637B9">
            <w:pPr>
              <w:pStyle w:val="revuetexte"/>
              <w:spacing w:after="60"/>
              <w:ind w:left="170" w:right="170"/>
              <w:jc w:val="both"/>
              <w:rPr>
                <w:rFonts w:ascii="Calibri" w:hAnsi="Calibri"/>
                <w:b/>
                <w:bCs/>
                <w:color w:val="002060"/>
                <w:sz w:val="20"/>
                <w:szCs w:val="20"/>
              </w:rPr>
            </w:pPr>
            <w:r>
              <w:rPr>
                <w:rStyle w:val="lev"/>
                <w:rFonts w:ascii="Calibri" w:hAnsi="Calibri"/>
                <w:color w:val="002060"/>
                <w:sz w:val="20"/>
                <w:szCs w:val="20"/>
              </w:rPr>
              <w:t>ne devrait pas dépasser 10 %</w:t>
            </w:r>
            <w:r w:rsidRPr="0086696A">
              <w:rPr>
                <w:rStyle w:val="lev"/>
                <w:rFonts w:ascii="Calibri" w:hAnsi="Calibri"/>
                <w:color w:val="002060"/>
                <w:sz w:val="20"/>
                <w:szCs w:val="20"/>
              </w:rPr>
              <w:t xml:space="preserve">. </w:t>
            </w:r>
          </w:p>
        </w:tc>
      </w:tr>
    </w:tbl>
    <w:p w:rsidR="006637B9" w:rsidRDefault="006637B9" w:rsidP="0034171E">
      <w:pPr>
        <w:pStyle w:val="revuetexte"/>
        <w:spacing w:before="120" w:after="60"/>
        <w:ind w:left="0"/>
        <w:jc w:val="both"/>
        <w:rPr>
          <w:rStyle w:val="lev"/>
          <w:rFonts w:ascii="Calibri" w:hAnsi="Calibri"/>
          <w:color w:val="002060"/>
          <w:sz w:val="21"/>
          <w:szCs w:val="21"/>
        </w:rPr>
      </w:pPr>
      <w:r w:rsidRPr="006637B9">
        <w:rPr>
          <w:rFonts w:ascii="Calibri" w:hAnsi="Calibri"/>
          <w:b/>
          <w:color w:val="002060"/>
          <w:sz w:val="21"/>
          <w:szCs w:val="21"/>
        </w:rPr>
        <w:t>6</w:t>
      </w:r>
      <w:r w:rsidRPr="006637B9">
        <w:rPr>
          <w:rFonts w:ascii="Calibri" w:hAnsi="Calibri"/>
          <w:color w:val="002060"/>
          <w:sz w:val="21"/>
          <w:szCs w:val="21"/>
        </w:rPr>
        <w:t xml:space="preserve">. </w:t>
      </w:r>
      <w:r w:rsidRPr="006637B9">
        <w:rPr>
          <w:rStyle w:val="lev"/>
          <w:rFonts w:ascii="Calibri" w:hAnsi="Calibri"/>
          <w:color w:val="002060"/>
          <w:sz w:val="21"/>
          <w:szCs w:val="21"/>
        </w:rPr>
        <w:t xml:space="preserve">Calcul des enjeux (retards, risques) </w:t>
      </w:r>
    </w:p>
    <w:p w:rsidR="006637B9" w:rsidRDefault="007A3373" w:rsidP="006637B9">
      <w:pPr>
        <w:pStyle w:val="revuetexte"/>
        <w:ind w:left="0"/>
        <w:jc w:val="both"/>
        <w:rPr>
          <w:rStyle w:val="revueremarquetitre"/>
          <w:rFonts w:ascii="Calibri" w:hAnsi="Calibri"/>
          <w:color w:val="002060"/>
          <w:sz w:val="20"/>
          <w:szCs w:val="20"/>
        </w:rPr>
      </w:pPr>
      <w:r w:rsidRPr="0086696A">
        <w:rPr>
          <w:rStyle w:val="revueremarquetitre"/>
          <w:rFonts w:ascii="Calibri" w:hAnsi="Calibri"/>
          <w:color w:val="002060"/>
          <w:sz w:val="20"/>
          <w:szCs w:val="20"/>
        </w:rPr>
        <w:t xml:space="preserve">Exemple : </w:t>
      </w:r>
    </w:p>
    <w:p w:rsidR="006637B9" w:rsidRDefault="006637B9" w:rsidP="006637B9">
      <w:pPr>
        <w:pStyle w:val="revuetexte"/>
        <w:ind w:left="0"/>
        <w:jc w:val="both"/>
        <w:rPr>
          <w:rFonts w:ascii="Calibri" w:hAnsi="Calibri"/>
          <w:color w:val="002060"/>
          <w:sz w:val="20"/>
          <w:szCs w:val="20"/>
        </w:rPr>
      </w:pPr>
      <w:r w:rsidRPr="006446A5">
        <w:rPr>
          <w:noProof/>
        </w:rPr>
        <w:drawing>
          <wp:inline distT="0" distB="0" distL="0" distR="0" wp14:anchorId="7EECD36E" wp14:editId="5E781CB8">
            <wp:extent cx="114300" cy="95250"/>
            <wp:effectExtent l="0" t="0" r="0" b="0"/>
            <wp:docPr id="51" name="Image 5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A3373" w:rsidRPr="0086696A">
        <w:rPr>
          <w:rStyle w:val="lev"/>
          <w:rFonts w:ascii="Calibri" w:hAnsi="Calibri"/>
          <w:color w:val="002060"/>
          <w:sz w:val="20"/>
          <w:szCs w:val="20"/>
        </w:rPr>
        <w:t xml:space="preserve">Enjeux. </w:t>
      </w:r>
      <w:r w:rsidR="007A3373" w:rsidRPr="0086696A">
        <w:rPr>
          <w:rFonts w:ascii="Calibri" w:hAnsi="Calibri"/>
          <w:color w:val="002060"/>
          <w:sz w:val="20"/>
          <w:szCs w:val="20"/>
        </w:rPr>
        <w:t xml:space="preserve">Un jour de chiffre d'affaires </w:t>
      </w:r>
      <w:r w:rsidR="00111C2F" w:rsidRPr="0086696A">
        <w:rPr>
          <w:rFonts w:ascii="Calibri" w:hAnsi="Calibri"/>
          <w:color w:val="002060"/>
          <w:sz w:val="20"/>
          <w:szCs w:val="20"/>
        </w:rPr>
        <w:t>représente (CA annuel)/360 = 16.</w:t>
      </w:r>
      <w:r w:rsidR="007A3373" w:rsidRPr="0086696A">
        <w:rPr>
          <w:rFonts w:ascii="Calibri" w:hAnsi="Calibri"/>
          <w:color w:val="002060"/>
          <w:sz w:val="20"/>
          <w:szCs w:val="20"/>
        </w:rPr>
        <w:t xml:space="preserve">700 </w:t>
      </w:r>
      <w:r w:rsidR="00111C2F" w:rsidRPr="0086696A">
        <w:rPr>
          <w:rFonts w:ascii="Calibri" w:hAnsi="Calibri" w:cs="Arial"/>
          <w:color w:val="002060"/>
          <w:sz w:val="20"/>
          <w:szCs w:val="20"/>
        </w:rPr>
        <w:t>€</w:t>
      </w:r>
      <w:r w:rsidR="007A3373" w:rsidRPr="0086696A">
        <w:rPr>
          <w:rFonts w:ascii="Calibri" w:hAnsi="Calibri"/>
          <w:color w:val="002060"/>
          <w:sz w:val="20"/>
          <w:szCs w:val="20"/>
        </w:rPr>
        <w:t>.</w:t>
      </w:r>
    </w:p>
    <w:p w:rsidR="006637B9" w:rsidRDefault="007A3373" w:rsidP="006637B9">
      <w:pPr>
        <w:pStyle w:val="revuetexte"/>
        <w:spacing w:after="60"/>
        <w:ind w:left="170"/>
        <w:jc w:val="both"/>
        <w:rPr>
          <w:rFonts w:ascii="Calibri" w:hAnsi="Calibri"/>
          <w:color w:val="002060"/>
          <w:sz w:val="20"/>
          <w:szCs w:val="20"/>
        </w:rPr>
      </w:pPr>
      <w:r w:rsidRPr="0086696A">
        <w:rPr>
          <w:rFonts w:ascii="Calibri" w:hAnsi="Calibri"/>
          <w:color w:val="002060"/>
          <w:sz w:val="20"/>
          <w:szCs w:val="20"/>
        </w:rPr>
        <w:t>Les retards de paiement subis par l'entreprise de 39 jours en moyenne repré</w:t>
      </w:r>
      <w:r w:rsidR="00111C2F" w:rsidRPr="0086696A">
        <w:rPr>
          <w:rFonts w:ascii="Calibri" w:hAnsi="Calibri"/>
          <w:color w:val="002060"/>
          <w:sz w:val="20"/>
          <w:szCs w:val="20"/>
        </w:rPr>
        <w:t>sentent donc : 16 700 X39 = 651.</w:t>
      </w:r>
      <w:r w:rsidRPr="0086696A">
        <w:rPr>
          <w:rFonts w:ascii="Calibri" w:hAnsi="Calibri"/>
          <w:color w:val="002060"/>
          <w:sz w:val="20"/>
          <w:szCs w:val="20"/>
        </w:rPr>
        <w:t xml:space="preserve">300 </w:t>
      </w:r>
      <w:r w:rsidR="00111C2F" w:rsidRPr="0086696A">
        <w:rPr>
          <w:rFonts w:ascii="Calibri" w:hAnsi="Calibri" w:cs="Arial"/>
          <w:color w:val="002060"/>
          <w:sz w:val="20"/>
          <w:szCs w:val="20"/>
        </w:rPr>
        <w:t>€</w:t>
      </w:r>
      <w:r w:rsidRPr="0086696A">
        <w:rPr>
          <w:rFonts w:ascii="Calibri" w:hAnsi="Calibri"/>
          <w:color w:val="002060"/>
          <w:sz w:val="20"/>
          <w:szCs w:val="20"/>
        </w:rPr>
        <w:t xml:space="preserve"> de trésorerie bloquée à l'extérieur de l'entreprise. Soit l'entreprise utilise un découvert bancaire pour combler ce manque, soit elle dispose de la trésorerie suffisante qui, ne pouvant alors être placée, ne rapporte pas d'intérêts. </w:t>
      </w:r>
    </w:p>
    <w:p w:rsidR="006637B9" w:rsidRDefault="007A3373" w:rsidP="006637B9">
      <w:pPr>
        <w:pStyle w:val="revuetexte"/>
        <w:spacing w:after="60"/>
        <w:ind w:left="170"/>
        <w:jc w:val="both"/>
        <w:rPr>
          <w:rFonts w:ascii="Calibri" w:hAnsi="Calibri"/>
          <w:color w:val="002060"/>
          <w:sz w:val="20"/>
          <w:szCs w:val="20"/>
        </w:rPr>
      </w:pPr>
      <w:r w:rsidRPr="0086696A">
        <w:rPr>
          <w:rFonts w:ascii="Calibri" w:hAnsi="Calibri"/>
          <w:color w:val="002060"/>
          <w:sz w:val="20"/>
          <w:szCs w:val="20"/>
        </w:rPr>
        <w:t>Dans les deux cas, en considérant un taux de fi</w:t>
      </w:r>
      <w:r w:rsidR="00111C2F" w:rsidRPr="0086696A">
        <w:rPr>
          <w:rFonts w:ascii="Calibri" w:hAnsi="Calibri"/>
          <w:color w:val="002060"/>
          <w:sz w:val="20"/>
          <w:szCs w:val="20"/>
        </w:rPr>
        <w:t>nancement de 6 %, elle subit 39.</w:t>
      </w:r>
      <w:r w:rsidRPr="0086696A">
        <w:rPr>
          <w:rFonts w:ascii="Calibri" w:hAnsi="Calibri"/>
          <w:color w:val="002060"/>
          <w:sz w:val="20"/>
          <w:szCs w:val="20"/>
        </w:rPr>
        <w:t>078 </w:t>
      </w:r>
      <w:r w:rsidR="00111C2F" w:rsidRPr="0086696A">
        <w:rPr>
          <w:rFonts w:ascii="Calibri" w:hAnsi="Calibri" w:cs="Arial"/>
          <w:color w:val="002060"/>
          <w:sz w:val="20"/>
          <w:szCs w:val="20"/>
        </w:rPr>
        <w:t>€</w:t>
      </w:r>
      <w:r w:rsidRPr="0086696A">
        <w:rPr>
          <w:rFonts w:ascii="Calibri" w:hAnsi="Calibri"/>
          <w:color w:val="002060"/>
          <w:sz w:val="20"/>
          <w:szCs w:val="20"/>
        </w:rPr>
        <w:t xml:space="preserve"> de frais financiers ou de manque à gagner sur cet argent qui aurait pu être placé.</w:t>
      </w:r>
    </w:p>
    <w:p w:rsidR="006637B9" w:rsidRDefault="007A3373" w:rsidP="006637B9">
      <w:pPr>
        <w:pStyle w:val="revuetexte"/>
        <w:spacing w:after="120"/>
        <w:ind w:left="170"/>
        <w:jc w:val="both"/>
        <w:rPr>
          <w:rFonts w:ascii="Calibri" w:hAnsi="Calibri"/>
          <w:color w:val="002060"/>
          <w:sz w:val="20"/>
          <w:szCs w:val="20"/>
        </w:rPr>
      </w:pPr>
      <w:r w:rsidRPr="0086696A">
        <w:rPr>
          <w:rFonts w:ascii="Calibri" w:hAnsi="Calibri"/>
          <w:color w:val="002060"/>
          <w:sz w:val="20"/>
          <w:szCs w:val="20"/>
        </w:rPr>
        <w:t>Rappelons qu'en moyenne en France, les retards de paiement sont de 14 jours.</w:t>
      </w:r>
    </w:p>
    <w:p w:rsidR="006637B9" w:rsidRDefault="00DB7C7E" w:rsidP="006637B9">
      <w:pPr>
        <w:pStyle w:val="revuetexte"/>
        <w:spacing w:after="120"/>
        <w:ind w:left="170" w:hanging="170"/>
        <w:jc w:val="both"/>
        <w:rPr>
          <w:rFonts w:ascii="Calibri" w:hAnsi="Calibri"/>
          <w:color w:val="002060"/>
          <w:sz w:val="20"/>
          <w:szCs w:val="20"/>
        </w:rPr>
      </w:pPr>
      <w:r>
        <w:lastRenderedPageBreak/>
        <w:pict>
          <v:shape id="_x0000_i1037" type="#_x0000_t75" alt="triangle" style="width:9pt;height:7.5pt;visibility:visible;mso-wrap-style:square">
            <v:imagedata r:id="rId7" o:title="triangle"/>
          </v:shape>
        </w:pict>
      </w:r>
      <w:r w:rsidR="007A3373" w:rsidRPr="0086696A">
        <w:rPr>
          <w:rStyle w:val="lev"/>
          <w:rFonts w:ascii="Calibri" w:hAnsi="Calibri"/>
          <w:color w:val="002060"/>
          <w:sz w:val="20"/>
          <w:szCs w:val="20"/>
        </w:rPr>
        <w:t xml:space="preserve">Risque. </w:t>
      </w:r>
      <w:r w:rsidR="00111C2F" w:rsidRPr="0086696A">
        <w:rPr>
          <w:rFonts w:ascii="Calibri" w:hAnsi="Calibri"/>
          <w:color w:val="002060"/>
          <w:sz w:val="20"/>
          <w:szCs w:val="20"/>
        </w:rPr>
        <w:t>L'entreprise constate 100.</w:t>
      </w:r>
      <w:r w:rsidR="007A3373"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007A3373" w:rsidRPr="0086696A">
        <w:rPr>
          <w:rFonts w:ascii="Calibri" w:hAnsi="Calibri"/>
          <w:color w:val="002060"/>
          <w:sz w:val="20"/>
          <w:szCs w:val="20"/>
        </w:rPr>
        <w:t xml:space="preserve"> de perte par an, soit 1,67 % de CA. En France, la moyenne acceptable étant de 0,5 % du CA, l'entreprise pourrait donc s'améli</w:t>
      </w:r>
      <w:r w:rsidR="00111C2F" w:rsidRPr="0086696A">
        <w:rPr>
          <w:rFonts w:ascii="Calibri" w:hAnsi="Calibri"/>
          <w:color w:val="002060"/>
          <w:sz w:val="20"/>
          <w:szCs w:val="20"/>
        </w:rPr>
        <w:t>orer pour réduire sa perte à 30.</w:t>
      </w:r>
      <w:r w:rsidR="007A3373"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00111C2F" w:rsidRPr="0086696A">
        <w:rPr>
          <w:rFonts w:ascii="Calibri" w:hAnsi="Calibri"/>
          <w:color w:val="002060"/>
          <w:sz w:val="20"/>
          <w:szCs w:val="20"/>
        </w:rPr>
        <w:t xml:space="preserve"> (gain de 70.</w:t>
      </w:r>
      <w:r w:rsidR="007A3373" w:rsidRPr="0086696A">
        <w:rPr>
          <w:rFonts w:ascii="Calibri" w:hAnsi="Calibri"/>
          <w:color w:val="002060"/>
          <w:sz w:val="20"/>
          <w:szCs w:val="20"/>
        </w:rPr>
        <w:t xml:space="preserve">000 </w:t>
      </w:r>
      <w:r w:rsidR="00111C2F" w:rsidRPr="0086696A">
        <w:rPr>
          <w:rFonts w:ascii="Calibri" w:hAnsi="Calibri" w:cs="Arial"/>
          <w:color w:val="002060"/>
          <w:sz w:val="20"/>
          <w:szCs w:val="20"/>
        </w:rPr>
        <w:t>€</w:t>
      </w:r>
      <w:r w:rsidR="007A3373" w:rsidRPr="0086696A">
        <w:rPr>
          <w:rFonts w:ascii="Calibri" w:hAnsi="Calibri"/>
          <w:color w:val="002060"/>
          <w:sz w:val="20"/>
          <w:szCs w:val="20"/>
        </w:rPr>
        <w:t>).</w:t>
      </w:r>
    </w:p>
    <w:tbl>
      <w:tblPr>
        <w:tblStyle w:val="Grilledutableau"/>
        <w:tblW w:w="0" w:type="auto"/>
        <w:jc w:val="center"/>
        <w:shd w:val="clear" w:color="auto" w:fill="F2F2F2" w:themeFill="background1" w:themeFillShade="F2"/>
        <w:tblLook w:val="04A0" w:firstRow="1" w:lastRow="0" w:firstColumn="1" w:lastColumn="0" w:noHBand="0" w:noVBand="1"/>
      </w:tblPr>
      <w:tblGrid>
        <w:gridCol w:w="9493"/>
      </w:tblGrid>
      <w:tr w:rsidR="006637B9" w:rsidTr="00496D00">
        <w:trPr>
          <w:jc w:val="center"/>
        </w:trPr>
        <w:tc>
          <w:tcPr>
            <w:tcW w:w="9493" w:type="dxa"/>
            <w:shd w:val="clear" w:color="auto" w:fill="F2F2F2" w:themeFill="background1" w:themeFillShade="F2"/>
          </w:tcPr>
          <w:p w:rsidR="006637B9" w:rsidRPr="00F5447E" w:rsidRDefault="006637B9" w:rsidP="006637B9">
            <w:pPr>
              <w:pStyle w:val="revuetexte"/>
              <w:spacing w:before="60" w:after="60"/>
              <w:ind w:left="57" w:right="57"/>
              <w:jc w:val="both"/>
              <w:rPr>
                <w:rFonts w:ascii="Calibri" w:hAnsi="Calibri"/>
                <w:b/>
                <w:bCs/>
                <w:color w:val="002060"/>
                <w:sz w:val="20"/>
                <w:szCs w:val="20"/>
              </w:rPr>
            </w:pPr>
            <w:r w:rsidRPr="0086696A">
              <w:rPr>
                <w:rStyle w:val="lev"/>
                <w:rFonts w:ascii="Calibri" w:hAnsi="Calibri"/>
                <w:color w:val="002060"/>
                <w:sz w:val="20"/>
                <w:szCs w:val="20"/>
              </w:rPr>
              <w:t xml:space="preserve">En optimisant la gestion de son risque clients et de ses encaissements, une entreprise peut gagner énormément. </w:t>
            </w:r>
          </w:p>
        </w:tc>
      </w:tr>
    </w:tbl>
    <w:p w:rsidR="006637B9" w:rsidRDefault="006637B9" w:rsidP="006637B9">
      <w:pPr>
        <w:pStyle w:val="revuetexte"/>
        <w:spacing w:after="120"/>
        <w:ind w:left="170" w:hanging="170"/>
        <w:jc w:val="both"/>
        <w:rPr>
          <w:rFonts w:ascii="Calibri" w:hAnsi="Calibri"/>
          <w:color w:val="002060"/>
          <w:sz w:val="20"/>
          <w:szCs w:val="20"/>
        </w:rPr>
      </w:pPr>
    </w:p>
    <w:p w:rsidR="007A3373" w:rsidRPr="0086696A" w:rsidRDefault="007A3373" w:rsidP="00F21C25">
      <w:pPr>
        <w:jc w:val="both"/>
        <w:rPr>
          <w:rFonts w:ascii="Calibri" w:hAnsi="Calibri"/>
          <w:color w:val="002060"/>
          <w:sz w:val="20"/>
          <w:szCs w:val="20"/>
        </w:rPr>
      </w:pP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3678"/>
        <w:gridCol w:w="850"/>
        <w:gridCol w:w="851"/>
      </w:tblGrid>
      <w:tr w:rsidR="007A3373" w:rsidRPr="006637B9" w:rsidTr="00820220">
        <w:trPr>
          <w:tblCellSpacing w:w="0" w:type="dxa"/>
          <w:jc w:val="center"/>
        </w:trPr>
        <w:tc>
          <w:tcPr>
            <w:tcW w:w="5379"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6637B9" w:rsidRDefault="007A3373" w:rsidP="006637B9">
            <w:pPr>
              <w:spacing w:before="60" w:after="60"/>
              <w:jc w:val="center"/>
              <w:rPr>
                <w:rFonts w:asciiTheme="minorHAnsi" w:hAnsiTheme="minorHAnsi"/>
                <w:b/>
                <w:bCs/>
                <w:color w:val="002060"/>
                <w:sz w:val="20"/>
                <w:szCs w:val="20"/>
              </w:rPr>
            </w:pPr>
            <w:r w:rsidRPr="006637B9">
              <w:rPr>
                <w:rFonts w:asciiTheme="minorHAnsi" w:hAnsiTheme="minorHAnsi"/>
                <w:b/>
                <w:bCs/>
                <w:color w:val="002060"/>
                <w:sz w:val="20"/>
                <w:szCs w:val="20"/>
              </w:rPr>
              <w:t xml:space="preserve">Le tableau de bord du </w:t>
            </w:r>
            <w:r w:rsidR="006637B9" w:rsidRPr="006637B9">
              <w:rPr>
                <w:rFonts w:asciiTheme="minorHAnsi" w:hAnsiTheme="minorHAnsi"/>
                <w:b/>
                <w:bCs/>
                <w:color w:val="002060"/>
                <w:sz w:val="20"/>
                <w:szCs w:val="20"/>
              </w:rPr>
              <w:t>crédit</w:t>
            </w:r>
            <w:r w:rsidR="006637B9">
              <w:rPr>
                <w:rFonts w:asciiTheme="minorHAnsi" w:hAnsiTheme="minorHAnsi"/>
                <w:b/>
                <w:bCs/>
                <w:color w:val="002060"/>
                <w:sz w:val="20"/>
                <w:szCs w:val="20"/>
              </w:rPr>
              <w:t>-</w:t>
            </w:r>
            <w:r w:rsidRPr="006637B9">
              <w:rPr>
                <w:rFonts w:asciiTheme="minorHAnsi" w:hAnsiTheme="minorHAnsi"/>
                <w:b/>
                <w:bCs/>
                <w:color w:val="002060"/>
                <w:sz w:val="20"/>
                <w:szCs w:val="20"/>
              </w:rPr>
              <w:t>manager</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6637B9" w:rsidRDefault="007A3373" w:rsidP="006637B9">
            <w:pPr>
              <w:spacing w:before="60" w:after="60"/>
              <w:jc w:val="center"/>
              <w:rPr>
                <w:rFonts w:asciiTheme="minorHAnsi" w:hAnsiTheme="minorHAnsi"/>
                <w:b/>
                <w:bCs/>
                <w:color w:val="002060"/>
                <w:sz w:val="20"/>
                <w:szCs w:val="20"/>
              </w:rPr>
            </w:pPr>
            <w:r w:rsidRPr="006637B9">
              <w:rPr>
                <w:rFonts w:asciiTheme="minorHAnsi" w:hAnsiTheme="minorHAnsi"/>
                <w:b/>
                <w:bCs/>
                <w:color w:val="002060"/>
                <w:sz w:val="20"/>
                <w:szCs w:val="20"/>
              </w:rPr>
              <w:t>Critères de performance</w:t>
            </w:r>
          </w:p>
        </w:tc>
        <w:tc>
          <w:tcPr>
            <w:tcW w:w="85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6637B9" w:rsidRDefault="007A3373" w:rsidP="006637B9">
            <w:pPr>
              <w:spacing w:before="60" w:after="60"/>
              <w:jc w:val="center"/>
              <w:rPr>
                <w:rFonts w:asciiTheme="minorHAnsi" w:hAnsiTheme="minorHAnsi"/>
                <w:b/>
                <w:bCs/>
                <w:color w:val="002060"/>
                <w:sz w:val="20"/>
                <w:szCs w:val="20"/>
              </w:rPr>
            </w:pPr>
            <w:r w:rsidRPr="006637B9">
              <w:rPr>
                <w:rFonts w:asciiTheme="minorHAnsi" w:hAnsiTheme="minorHAnsi"/>
                <w:b/>
                <w:bCs/>
                <w:color w:val="002060"/>
                <w:sz w:val="20"/>
                <w:szCs w:val="20"/>
              </w:rPr>
              <w:t>Date</w:t>
            </w:r>
          </w:p>
        </w:tc>
        <w:tc>
          <w:tcPr>
            <w:tcW w:w="85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7A3373" w:rsidRPr="006637B9" w:rsidRDefault="007A3373" w:rsidP="006637B9">
            <w:pPr>
              <w:spacing w:before="60" w:after="60"/>
              <w:jc w:val="center"/>
              <w:rPr>
                <w:rFonts w:asciiTheme="minorHAnsi" w:hAnsiTheme="minorHAnsi"/>
                <w:b/>
                <w:bCs/>
                <w:color w:val="002060"/>
                <w:sz w:val="20"/>
                <w:szCs w:val="20"/>
              </w:rPr>
            </w:pPr>
            <w:r w:rsidRPr="006637B9">
              <w:rPr>
                <w:rFonts w:asciiTheme="minorHAnsi" w:hAnsiTheme="minorHAnsi"/>
                <w:b/>
                <w:bCs/>
                <w:color w:val="002060"/>
                <w:sz w:val="20"/>
                <w:szCs w:val="20"/>
              </w:rPr>
              <w:t>Date</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shd w:val="clear" w:color="auto" w:fill="E2EFD9" w:themeFill="accent6" w:themeFillTint="33"/>
          </w:tcPr>
          <w:p w:rsidR="007A3373" w:rsidRPr="006637B9" w:rsidRDefault="006637B9" w:rsidP="006637B9">
            <w:pPr>
              <w:spacing w:before="60" w:after="60"/>
              <w:jc w:val="both"/>
              <w:rPr>
                <w:rFonts w:asciiTheme="minorHAnsi" w:hAnsiTheme="minorHAnsi"/>
                <w:b/>
                <w:bCs/>
                <w:color w:val="002060"/>
                <w:sz w:val="20"/>
                <w:szCs w:val="20"/>
              </w:rPr>
            </w:pPr>
            <w:r>
              <w:rPr>
                <w:rFonts w:asciiTheme="minorHAnsi" w:hAnsiTheme="minorHAnsi"/>
                <w:b/>
                <w:bCs/>
                <w:color w:val="002060"/>
                <w:sz w:val="20"/>
                <w:szCs w:val="20"/>
              </w:rPr>
              <w:t xml:space="preserve"> </w:t>
            </w:r>
            <w:r w:rsidR="007A3373" w:rsidRPr="006637B9">
              <w:rPr>
                <w:rFonts w:asciiTheme="minorHAnsi" w:hAnsiTheme="minorHAnsi"/>
                <w:b/>
                <w:bCs/>
                <w:color w:val="002060"/>
                <w:sz w:val="20"/>
                <w:szCs w:val="20"/>
              </w:rPr>
              <w:t>DSO</w:t>
            </w:r>
          </w:p>
        </w:tc>
        <w:tc>
          <w:tcPr>
            <w:tcW w:w="850" w:type="dxa"/>
            <w:tcBorders>
              <w:top w:val="outset" w:sz="6" w:space="0" w:color="auto"/>
              <w:left w:val="outset" w:sz="6" w:space="0" w:color="auto"/>
              <w:bottom w:val="outset" w:sz="6" w:space="0" w:color="auto"/>
              <w:right w:val="outset" w:sz="6" w:space="0" w:color="auto"/>
            </w:tcBorders>
            <w:shd w:val="clear" w:color="auto" w:fill="E2EFD9" w:themeFill="accent6" w:themeFillTint="33"/>
          </w:tcPr>
          <w:p w:rsidR="007A3373" w:rsidRPr="006637B9" w:rsidRDefault="007A3373" w:rsidP="00F21C25">
            <w:pPr>
              <w:jc w:val="both"/>
              <w:rPr>
                <w:rFonts w:asciiTheme="minorHAnsi" w:hAnsiTheme="minorHAnsi"/>
                <w:b/>
                <w:bCs/>
                <w:color w:val="002060"/>
                <w:sz w:val="20"/>
                <w:szCs w:val="20"/>
              </w:rPr>
            </w:pPr>
          </w:p>
        </w:tc>
        <w:tc>
          <w:tcPr>
            <w:tcW w:w="851" w:type="dxa"/>
            <w:tcBorders>
              <w:top w:val="outset" w:sz="6" w:space="0" w:color="auto"/>
              <w:left w:val="outset" w:sz="6" w:space="0" w:color="auto"/>
              <w:bottom w:val="outset" w:sz="6" w:space="0" w:color="auto"/>
              <w:right w:val="outset" w:sz="6" w:space="0" w:color="auto"/>
            </w:tcBorders>
            <w:shd w:val="clear" w:color="auto" w:fill="E2EFD9" w:themeFill="accent6" w:themeFillTint="33"/>
          </w:tcPr>
          <w:p w:rsidR="007A3373" w:rsidRPr="006637B9" w:rsidRDefault="007A3373" w:rsidP="00F21C25">
            <w:pPr>
              <w:jc w:val="both"/>
              <w:rPr>
                <w:rFonts w:asciiTheme="minorHAnsi" w:hAnsiTheme="minorHAnsi"/>
                <w:b/>
                <w:bCs/>
                <w:color w:val="002060"/>
                <w:sz w:val="20"/>
                <w:szCs w:val="20"/>
              </w:rPr>
            </w:pP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6637B9">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A - DSO constant</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6637B9">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B - DSO théorique</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6637B9">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C - DSO retard</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6637B9">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Commentaires</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shd w:val="clear" w:color="auto" w:fill="FBE4D5" w:themeFill="accent2" w:themeFillTint="33"/>
          </w:tcPr>
          <w:p w:rsidR="007A3373" w:rsidRPr="006637B9" w:rsidRDefault="006637B9" w:rsidP="006637B9">
            <w:pPr>
              <w:spacing w:before="60" w:after="60"/>
              <w:jc w:val="both"/>
              <w:rPr>
                <w:rFonts w:asciiTheme="minorHAnsi" w:hAnsiTheme="minorHAnsi"/>
                <w:b/>
                <w:bCs/>
                <w:color w:val="002060"/>
                <w:sz w:val="20"/>
                <w:szCs w:val="20"/>
              </w:rPr>
            </w:pPr>
            <w:r>
              <w:rPr>
                <w:rFonts w:asciiTheme="minorHAnsi" w:hAnsiTheme="minorHAnsi"/>
                <w:b/>
                <w:bCs/>
                <w:color w:val="002060"/>
                <w:sz w:val="20"/>
                <w:szCs w:val="20"/>
              </w:rPr>
              <w:t xml:space="preserve"> </w:t>
            </w:r>
            <w:r w:rsidR="007A3373" w:rsidRPr="006637B9">
              <w:rPr>
                <w:rFonts w:asciiTheme="minorHAnsi" w:hAnsiTheme="minorHAnsi"/>
                <w:b/>
                <w:bCs/>
                <w:color w:val="002060"/>
                <w:sz w:val="20"/>
                <w:szCs w:val="20"/>
              </w:rPr>
              <w:t>Risques</w:t>
            </w:r>
          </w:p>
        </w:tc>
        <w:tc>
          <w:tcPr>
            <w:tcW w:w="850" w:type="dxa"/>
            <w:tcBorders>
              <w:top w:val="outset" w:sz="6" w:space="0" w:color="auto"/>
              <w:left w:val="outset" w:sz="6" w:space="0" w:color="auto"/>
              <w:bottom w:val="outset" w:sz="6" w:space="0" w:color="auto"/>
              <w:right w:val="outset" w:sz="6" w:space="0" w:color="auto"/>
            </w:tcBorders>
            <w:shd w:val="clear" w:color="auto" w:fill="FBE4D5" w:themeFill="accent2" w:themeFillTint="33"/>
          </w:tcPr>
          <w:p w:rsidR="007A3373" w:rsidRPr="006637B9" w:rsidRDefault="007A3373" w:rsidP="00F21C25">
            <w:pPr>
              <w:jc w:val="both"/>
              <w:rPr>
                <w:rFonts w:asciiTheme="minorHAnsi" w:hAnsiTheme="minorHAnsi"/>
                <w:b/>
                <w:bCs/>
                <w:color w:val="002060"/>
                <w:sz w:val="20"/>
                <w:szCs w:val="20"/>
              </w:rPr>
            </w:pPr>
          </w:p>
        </w:tc>
        <w:tc>
          <w:tcPr>
            <w:tcW w:w="851" w:type="dxa"/>
            <w:tcBorders>
              <w:top w:val="outset" w:sz="6" w:space="0" w:color="auto"/>
              <w:left w:val="outset" w:sz="6" w:space="0" w:color="auto"/>
              <w:bottom w:val="outset" w:sz="6" w:space="0" w:color="auto"/>
              <w:right w:val="outset" w:sz="6" w:space="0" w:color="auto"/>
            </w:tcBorders>
            <w:shd w:val="clear" w:color="auto" w:fill="FBE4D5" w:themeFill="accent2" w:themeFillTint="33"/>
          </w:tcPr>
          <w:p w:rsidR="007A3373" w:rsidRPr="006637B9" w:rsidRDefault="007A3373" w:rsidP="00F21C25">
            <w:pPr>
              <w:jc w:val="both"/>
              <w:rPr>
                <w:rFonts w:asciiTheme="minorHAnsi" w:hAnsiTheme="minorHAnsi"/>
                <w:b/>
                <w:bCs/>
                <w:color w:val="002060"/>
                <w:sz w:val="20"/>
                <w:szCs w:val="20"/>
              </w:rPr>
            </w:pP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D - Risque constat</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E - Risque plus gros client</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F - Risque 20 plus gros clients (moyenne)</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Commentaires</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K - Poids moyen client</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r w:rsidR="007A3373" w:rsidRPr="006637B9" w:rsidTr="00820220">
        <w:trPr>
          <w:tblCellSpacing w:w="0" w:type="dxa"/>
          <w:jc w:val="center"/>
        </w:trPr>
        <w:tc>
          <w:tcPr>
            <w:tcW w:w="3678" w:type="dxa"/>
            <w:tcBorders>
              <w:top w:val="outset" w:sz="6" w:space="0" w:color="auto"/>
              <w:left w:val="outset" w:sz="6" w:space="0" w:color="auto"/>
              <w:bottom w:val="outset" w:sz="6" w:space="0" w:color="auto"/>
              <w:right w:val="outset" w:sz="6" w:space="0" w:color="auto"/>
            </w:tcBorders>
          </w:tcPr>
          <w:p w:rsidR="007A3373" w:rsidRPr="006637B9" w:rsidRDefault="006637B9" w:rsidP="00820220">
            <w:pPr>
              <w:spacing w:before="60" w:after="60"/>
              <w:jc w:val="both"/>
              <w:rPr>
                <w:rFonts w:asciiTheme="minorHAnsi" w:hAnsiTheme="minorHAnsi"/>
                <w:color w:val="002060"/>
                <w:sz w:val="20"/>
                <w:szCs w:val="20"/>
              </w:rPr>
            </w:pPr>
            <w:r>
              <w:rPr>
                <w:rFonts w:asciiTheme="minorHAnsi" w:hAnsiTheme="minorHAnsi"/>
                <w:color w:val="002060"/>
                <w:sz w:val="20"/>
                <w:szCs w:val="20"/>
              </w:rPr>
              <w:t xml:space="preserve"> </w:t>
            </w:r>
            <w:r w:rsidR="007A3373" w:rsidRPr="006637B9">
              <w:rPr>
                <w:rFonts w:asciiTheme="minorHAnsi" w:hAnsiTheme="minorHAnsi"/>
                <w:color w:val="002060"/>
                <w:sz w:val="20"/>
                <w:szCs w:val="20"/>
              </w:rPr>
              <w:t>L - Qualité facturation</w:t>
            </w:r>
          </w:p>
        </w:tc>
        <w:tc>
          <w:tcPr>
            <w:tcW w:w="850"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tcPr>
          <w:p w:rsidR="007A3373" w:rsidRPr="006637B9" w:rsidRDefault="007A3373" w:rsidP="00F21C25">
            <w:pPr>
              <w:jc w:val="both"/>
              <w:rPr>
                <w:rFonts w:asciiTheme="minorHAnsi" w:hAnsiTheme="minorHAnsi"/>
                <w:color w:val="002060"/>
                <w:sz w:val="20"/>
                <w:szCs w:val="20"/>
              </w:rPr>
            </w:pPr>
            <w:r w:rsidRPr="006637B9">
              <w:rPr>
                <w:rFonts w:asciiTheme="minorHAnsi" w:hAnsiTheme="minorHAnsi"/>
                <w:color w:val="002060"/>
                <w:sz w:val="20"/>
                <w:szCs w:val="20"/>
              </w:rPr>
              <w:t xml:space="preserve">  </w:t>
            </w:r>
          </w:p>
        </w:tc>
      </w:tr>
    </w:tbl>
    <w:p w:rsidR="00822DCB" w:rsidRPr="006637B9" w:rsidRDefault="00822DCB" w:rsidP="00F21C25">
      <w:pPr>
        <w:jc w:val="both"/>
        <w:rPr>
          <w:rFonts w:asciiTheme="minorHAnsi" w:hAnsiTheme="minorHAnsi"/>
          <w:color w:val="002060"/>
          <w:sz w:val="20"/>
          <w:szCs w:val="20"/>
        </w:rPr>
      </w:pPr>
    </w:p>
    <w:sectPr w:rsidR="00822DCB" w:rsidRPr="006637B9" w:rsidSect="0086696A">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i1026" type="#_x0000_t75" alt="triangle" style="width:9pt;height:7.5pt;visibility:visible;mso-wrap-style:square" o:bullet="t">
        <v:imagedata r:id="rId1" o:title="triangle"/>
      </v:shape>
    </w:pict>
  </w:numPicBullet>
  <w:abstractNum w:abstractNumId="0" w15:restartNumberingAfterBreak="0">
    <w:nsid w:val="1CBD46FE"/>
    <w:multiLevelType w:val="hybridMultilevel"/>
    <w:tmpl w:val="5C327EE8"/>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7B2A91"/>
    <w:multiLevelType w:val="hybridMultilevel"/>
    <w:tmpl w:val="6520E586"/>
    <w:lvl w:ilvl="0" w:tplc="8528DB72">
      <w:start w:val="5"/>
      <w:numFmt w:val="bullet"/>
      <w:lvlText w:val=""/>
      <w:lvlJc w:val="left"/>
      <w:pPr>
        <w:tabs>
          <w:tab w:val="num" w:pos="492"/>
        </w:tabs>
        <w:ind w:left="492" w:hanging="360"/>
      </w:pPr>
      <w:rPr>
        <w:rFonts w:ascii="Wingdings" w:eastAsia="Times New Roman" w:hAnsi="Wingdings" w:cs="Times New Roman" w:hint="default"/>
      </w:rPr>
    </w:lvl>
    <w:lvl w:ilvl="1" w:tplc="040C0003" w:tentative="1">
      <w:start w:val="1"/>
      <w:numFmt w:val="bullet"/>
      <w:lvlText w:val="o"/>
      <w:lvlJc w:val="left"/>
      <w:pPr>
        <w:tabs>
          <w:tab w:val="num" w:pos="1212"/>
        </w:tabs>
        <w:ind w:left="1212" w:hanging="360"/>
      </w:pPr>
      <w:rPr>
        <w:rFonts w:ascii="Courier New" w:hAnsi="Courier New" w:hint="default"/>
      </w:rPr>
    </w:lvl>
    <w:lvl w:ilvl="2" w:tplc="040C0005" w:tentative="1">
      <w:start w:val="1"/>
      <w:numFmt w:val="bullet"/>
      <w:lvlText w:val=""/>
      <w:lvlJc w:val="left"/>
      <w:pPr>
        <w:tabs>
          <w:tab w:val="num" w:pos="1932"/>
        </w:tabs>
        <w:ind w:left="1932" w:hanging="360"/>
      </w:pPr>
      <w:rPr>
        <w:rFonts w:ascii="Wingdings" w:hAnsi="Wingdings" w:hint="default"/>
      </w:rPr>
    </w:lvl>
    <w:lvl w:ilvl="3" w:tplc="040C0001" w:tentative="1">
      <w:start w:val="1"/>
      <w:numFmt w:val="bullet"/>
      <w:lvlText w:val=""/>
      <w:lvlJc w:val="left"/>
      <w:pPr>
        <w:tabs>
          <w:tab w:val="num" w:pos="2652"/>
        </w:tabs>
        <w:ind w:left="2652" w:hanging="360"/>
      </w:pPr>
      <w:rPr>
        <w:rFonts w:ascii="Symbol" w:hAnsi="Symbol" w:hint="default"/>
      </w:rPr>
    </w:lvl>
    <w:lvl w:ilvl="4" w:tplc="040C0003" w:tentative="1">
      <w:start w:val="1"/>
      <w:numFmt w:val="bullet"/>
      <w:lvlText w:val="o"/>
      <w:lvlJc w:val="left"/>
      <w:pPr>
        <w:tabs>
          <w:tab w:val="num" w:pos="3372"/>
        </w:tabs>
        <w:ind w:left="3372" w:hanging="360"/>
      </w:pPr>
      <w:rPr>
        <w:rFonts w:ascii="Courier New" w:hAnsi="Courier New" w:hint="default"/>
      </w:rPr>
    </w:lvl>
    <w:lvl w:ilvl="5" w:tplc="040C0005" w:tentative="1">
      <w:start w:val="1"/>
      <w:numFmt w:val="bullet"/>
      <w:lvlText w:val=""/>
      <w:lvlJc w:val="left"/>
      <w:pPr>
        <w:tabs>
          <w:tab w:val="num" w:pos="4092"/>
        </w:tabs>
        <w:ind w:left="4092" w:hanging="360"/>
      </w:pPr>
      <w:rPr>
        <w:rFonts w:ascii="Wingdings" w:hAnsi="Wingdings" w:hint="default"/>
      </w:rPr>
    </w:lvl>
    <w:lvl w:ilvl="6" w:tplc="040C0001" w:tentative="1">
      <w:start w:val="1"/>
      <w:numFmt w:val="bullet"/>
      <w:lvlText w:val=""/>
      <w:lvlJc w:val="left"/>
      <w:pPr>
        <w:tabs>
          <w:tab w:val="num" w:pos="4812"/>
        </w:tabs>
        <w:ind w:left="4812" w:hanging="360"/>
      </w:pPr>
      <w:rPr>
        <w:rFonts w:ascii="Symbol" w:hAnsi="Symbol" w:hint="default"/>
      </w:rPr>
    </w:lvl>
    <w:lvl w:ilvl="7" w:tplc="040C0003" w:tentative="1">
      <w:start w:val="1"/>
      <w:numFmt w:val="bullet"/>
      <w:lvlText w:val="o"/>
      <w:lvlJc w:val="left"/>
      <w:pPr>
        <w:tabs>
          <w:tab w:val="num" w:pos="5532"/>
        </w:tabs>
        <w:ind w:left="5532" w:hanging="360"/>
      </w:pPr>
      <w:rPr>
        <w:rFonts w:ascii="Courier New" w:hAnsi="Courier New" w:hint="default"/>
      </w:rPr>
    </w:lvl>
    <w:lvl w:ilvl="8" w:tplc="040C0005" w:tentative="1">
      <w:start w:val="1"/>
      <w:numFmt w:val="bullet"/>
      <w:lvlText w:val=""/>
      <w:lvlJc w:val="left"/>
      <w:pPr>
        <w:tabs>
          <w:tab w:val="num" w:pos="6252"/>
        </w:tabs>
        <w:ind w:left="62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73"/>
    <w:rsid w:val="00003B10"/>
    <w:rsid w:val="00013E97"/>
    <w:rsid w:val="000B1C28"/>
    <w:rsid w:val="000C2622"/>
    <w:rsid w:val="000D2003"/>
    <w:rsid w:val="001010F2"/>
    <w:rsid w:val="00111C2F"/>
    <w:rsid w:val="00205314"/>
    <w:rsid w:val="00250038"/>
    <w:rsid w:val="002E7949"/>
    <w:rsid w:val="0031454F"/>
    <w:rsid w:val="0034171E"/>
    <w:rsid w:val="003534B9"/>
    <w:rsid w:val="003A1C4D"/>
    <w:rsid w:val="003B0601"/>
    <w:rsid w:val="00427CB9"/>
    <w:rsid w:val="00496D00"/>
    <w:rsid w:val="004C04F1"/>
    <w:rsid w:val="00500F92"/>
    <w:rsid w:val="005151CC"/>
    <w:rsid w:val="0057427A"/>
    <w:rsid w:val="005E47FF"/>
    <w:rsid w:val="00643B5C"/>
    <w:rsid w:val="006637B9"/>
    <w:rsid w:val="006A0DBF"/>
    <w:rsid w:val="00791D72"/>
    <w:rsid w:val="007A3373"/>
    <w:rsid w:val="007B033C"/>
    <w:rsid w:val="007D66A9"/>
    <w:rsid w:val="008125EF"/>
    <w:rsid w:val="00812D84"/>
    <w:rsid w:val="00814AB6"/>
    <w:rsid w:val="00820220"/>
    <w:rsid w:val="00822DCB"/>
    <w:rsid w:val="00851244"/>
    <w:rsid w:val="0086696A"/>
    <w:rsid w:val="00883515"/>
    <w:rsid w:val="00907DBF"/>
    <w:rsid w:val="00925BA6"/>
    <w:rsid w:val="0099584A"/>
    <w:rsid w:val="00A36527"/>
    <w:rsid w:val="00A50217"/>
    <w:rsid w:val="00A80205"/>
    <w:rsid w:val="00AD4247"/>
    <w:rsid w:val="00B514BE"/>
    <w:rsid w:val="00B80AB8"/>
    <w:rsid w:val="00BF0B29"/>
    <w:rsid w:val="00C158A1"/>
    <w:rsid w:val="00C8748C"/>
    <w:rsid w:val="00CC7A6D"/>
    <w:rsid w:val="00D05E2E"/>
    <w:rsid w:val="00D91FA4"/>
    <w:rsid w:val="00D93C2C"/>
    <w:rsid w:val="00DB7C7E"/>
    <w:rsid w:val="00F13979"/>
    <w:rsid w:val="00F21C25"/>
    <w:rsid w:val="00F5447E"/>
    <w:rsid w:val="00FB1E5B"/>
    <w:rsid w:val="00FC5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9"/>
    <o:shapelayout v:ext="edit">
      <o:idmap v:ext="edit" data="1"/>
    </o:shapelayout>
  </w:shapeDefaults>
  <w:decimalSymbol w:val=","/>
  <w:listSeparator w:val=";"/>
  <w14:docId w14:val="2F78C4E0"/>
  <w15:chartTrackingRefBased/>
  <w15:docId w15:val="{2A21F35D-D142-42DA-8C34-9A140EA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paragraph" w:customStyle="1" w:styleId="revuerubrique">
    <w:name w:val="revuerubrique"/>
    <w:basedOn w:val="Normal"/>
    <w:rsid w:val="007A3373"/>
    <w:pPr>
      <w:ind w:right="66"/>
    </w:pPr>
    <w:rPr>
      <w:rFonts w:ascii="Verdana" w:hAnsi="Verdana"/>
      <w:b/>
      <w:bCs/>
      <w:color w:val="F0C104"/>
      <w:sz w:val="21"/>
      <w:szCs w:val="21"/>
    </w:rPr>
  </w:style>
  <w:style w:type="paragraph" w:customStyle="1" w:styleId="revuetitre">
    <w:name w:val="revuetitre"/>
    <w:basedOn w:val="Normal"/>
    <w:rsid w:val="007A3373"/>
    <w:pPr>
      <w:pBdr>
        <w:bottom w:val="single" w:sz="4" w:space="3" w:color="CCCCCC"/>
      </w:pBdr>
      <w:spacing w:before="198" w:after="198"/>
    </w:pPr>
    <w:rPr>
      <w:rFonts w:ascii="Verdana" w:hAnsi="Verdana"/>
      <w:b/>
      <w:bCs/>
      <w:color w:val="F0C104"/>
      <w:sz w:val="26"/>
      <w:szCs w:val="26"/>
    </w:rPr>
  </w:style>
  <w:style w:type="paragraph" w:customStyle="1" w:styleId="revuetexte">
    <w:name w:val="revuetexte"/>
    <w:basedOn w:val="Normal"/>
    <w:rsid w:val="007A3373"/>
    <w:pPr>
      <w:spacing w:after="66"/>
      <w:ind w:left="132"/>
    </w:pPr>
    <w:rPr>
      <w:rFonts w:ascii="Verdana" w:hAnsi="Verdana"/>
      <w:sz w:val="15"/>
      <w:szCs w:val="15"/>
    </w:rPr>
  </w:style>
  <w:style w:type="paragraph" w:customStyle="1" w:styleId="revuechapo">
    <w:name w:val="revuechapo"/>
    <w:basedOn w:val="Normal"/>
    <w:rsid w:val="007A3373"/>
    <w:pPr>
      <w:spacing w:before="26" w:after="132"/>
      <w:ind w:left="132"/>
    </w:pPr>
    <w:rPr>
      <w:rFonts w:ascii="Verdana" w:hAnsi="Verdana"/>
      <w:color w:val="7D6B00"/>
      <w:sz w:val="16"/>
      <w:szCs w:val="16"/>
    </w:rPr>
  </w:style>
  <w:style w:type="paragraph" w:customStyle="1" w:styleId="revueintertitre">
    <w:name w:val="revueintertitre"/>
    <w:basedOn w:val="Normal"/>
    <w:rsid w:val="007A3373"/>
    <w:pPr>
      <w:pBdr>
        <w:bottom w:val="single" w:sz="4" w:space="3" w:color="C0C0C0"/>
      </w:pBdr>
      <w:spacing w:before="528" w:after="132"/>
      <w:ind w:left="396"/>
    </w:pPr>
    <w:rPr>
      <w:rFonts w:ascii="Verdana" w:hAnsi="Verdana"/>
      <w:b/>
      <w:bCs/>
      <w:caps/>
      <w:color w:val="333333"/>
      <w:sz w:val="21"/>
      <w:szCs w:val="21"/>
    </w:rPr>
  </w:style>
  <w:style w:type="paragraph" w:customStyle="1" w:styleId="revuesousintertitre">
    <w:name w:val="revuesousintertitre"/>
    <w:basedOn w:val="Normal"/>
    <w:rsid w:val="007A3373"/>
    <w:pPr>
      <w:spacing w:before="66" w:after="66"/>
      <w:ind w:left="66"/>
    </w:pPr>
    <w:rPr>
      <w:rFonts w:ascii="Verdana" w:hAnsi="Verdana"/>
      <w:b/>
      <w:bCs/>
      <w:sz w:val="15"/>
      <w:szCs w:val="15"/>
    </w:rPr>
  </w:style>
  <w:style w:type="paragraph" w:customStyle="1" w:styleId="revueremarque">
    <w:name w:val="revueremarque"/>
    <w:basedOn w:val="Normal"/>
    <w:rsid w:val="007A3373"/>
    <w:pPr>
      <w:pBdr>
        <w:left w:val="dotted" w:sz="12" w:space="3" w:color="D38D00"/>
      </w:pBdr>
      <w:ind w:left="264"/>
    </w:pPr>
    <w:rPr>
      <w:rFonts w:ascii="Verdana" w:hAnsi="Verdana"/>
      <w:sz w:val="15"/>
      <w:szCs w:val="15"/>
    </w:rPr>
  </w:style>
  <w:style w:type="paragraph" w:customStyle="1" w:styleId="revuesignature">
    <w:name w:val="revuesignature"/>
    <w:basedOn w:val="Normal"/>
    <w:rsid w:val="007A3373"/>
    <w:pPr>
      <w:spacing w:after="264"/>
      <w:ind w:left="198"/>
    </w:pPr>
    <w:rPr>
      <w:rFonts w:ascii="Verdana" w:hAnsi="Verdana"/>
      <w:i/>
      <w:iCs/>
      <w:sz w:val="16"/>
      <w:szCs w:val="16"/>
      <w:u w:val="single"/>
    </w:rPr>
  </w:style>
  <w:style w:type="character" w:customStyle="1" w:styleId="revuesousintertitre1">
    <w:name w:val="revuesousintertitre1"/>
    <w:basedOn w:val="Policepardfaut"/>
    <w:rsid w:val="007A3373"/>
  </w:style>
  <w:style w:type="character" w:customStyle="1" w:styleId="revueremarquetitre">
    <w:name w:val="revueremarquetitre"/>
    <w:rsid w:val="007A3373"/>
    <w:rPr>
      <w:b/>
      <w:bCs/>
    </w:rPr>
  </w:style>
  <w:style w:type="character" w:styleId="lev">
    <w:name w:val="Strong"/>
    <w:qFormat/>
    <w:rsid w:val="007A3373"/>
    <w:rPr>
      <w:b/>
      <w:bCs/>
    </w:rPr>
  </w:style>
  <w:style w:type="character" w:styleId="Lienhypertexte">
    <w:name w:val="Hyperlink"/>
    <w:rsid w:val="007A3373"/>
    <w:rPr>
      <w:color w:val="0000FF"/>
      <w:u w:val="single"/>
    </w:rPr>
  </w:style>
  <w:style w:type="paragraph" w:styleId="Textedebulles">
    <w:name w:val="Balloon Text"/>
    <w:basedOn w:val="Normal"/>
    <w:semiHidden/>
    <w:rsid w:val="006A0DBF"/>
    <w:rPr>
      <w:rFonts w:ascii="Tahoma" w:hAnsi="Tahoma" w:cs="Tahoma"/>
      <w:sz w:val="16"/>
      <w:szCs w:val="16"/>
    </w:rPr>
  </w:style>
  <w:style w:type="character" w:styleId="Marquedecommentaire">
    <w:name w:val="annotation reference"/>
    <w:basedOn w:val="Policepardfaut"/>
    <w:rsid w:val="00013E97"/>
    <w:rPr>
      <w:sz w:val="16"/>
      <w:szCs w:val="16"/>
    </w:rPr>
  </w:style>
  <w:style w:type="paragraph" w:styleId="Commentaire">
    <w:name w:val="annotation text"/>
    <w:basedOn w:val="Normal"/>
    <w:link w:val="CommentaireCar"/>
    <w:rsid w:val="00013E97"/>
    <w:rPr>
      <w:sz w:val="20"/>
      <w:szCs w:val="20"/>
    </w:rPr>
  </w:style>
  <w:style w:type="character" w:customStyle="1" w:styleId="CommentaireCar">
    <w:name w:val="Commentaire Car"/>
    <w:basedOn w:val="Policepardfaut"/>
    <w:link w:val="Commentaire"/>
    <w:rsid w:val="00013E97"/>
  </w:style>
  <w:style w:type="paragraph" w:styleId="Objetducommentaire">
    <w:name w:val="annotation subject"/>
    <w:basedOn w:val="Commentaire"/>
    <w:next w:val="Commentaire"/>
    <w:link w:val="ObjetducommentaireCar"/>
    <w:rsid w:val="00013E97"/>
    <w:rPr>
      <w:b/>
      <w:bCs/>
    </w:rPr>
  </w:style>
  <w:style w:type="character" w:customStyle="1" w:styleId="ObjetducommentaireCar">
    <w:name w:val="Objet du commentaire Car"/>
    <w:basedOn w:val="CommentaireCar"/>
    <w:link w:val="Objetducommentaire"/>
    <w:rsid w:val="00013E97"/>
    <w:rPr>
      <w:b/>
      <w:bCs/>
    </w:rPr>
  </w:style>
  <w:style w:type="table" w:styleId="Grilledutableau">
    <w:name w:val="Table Grid"/>
    <w:basedOn w:val="TableauNormal"/>
    <w:rsid w:val="0025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6528">
      <w:bodyDiv w:val="1"/>
      <w:marLeft w:val="0"/>
      <w:marRight w:val="0"/>
      <w:marTop w:val="0"/>
      <w:marBottom w:val="0"/>
      <w:divBdr>
        <w:top w:val="none" w:sz="0" w:space="0" w:color="auto"/>
        <w:left w:val="none" w:sz="0" w:space="0" w:color="auto"/>
        <w:bottom w:val="none" w:sz="0" w:space="0" w:color="auto"/>
        <w:right w:val="none" w:sz="0" w:space="0" w:color="auto"/>
      </w:divBdr>
      <w:divsChild>
        <w:div w:id="1668748149">
          <w:marLeft w:val="0"/>
          <w:marRight w:val="0"/>
          <w:marTop w:val="0"/>
          <w:marBottom w:val="0"/>
          <w:divBdr>
            <w:top w:val="none" w:sz="0" w:space="0" w:color="auto"/>
            <w:left w:val="none" w:sz="0" w:space="0" w:color="auto"/>
            <w:bottom w:val="none" w:sz="0" w:space="0" w:color="auto"/>
            <w:right w:val="none" w:sz="0" w:space="0" w:color="auto"/>
          </w:divBdr>
          <w:divsChild>
            <w:div w:id="638925257">
              <w:marLeft w:val="0"/>
              <w:marRight w:val="0"/>
              <w:marTop w:val="0"/>
              <w:marBottom w:val="0"/>
              <w:divBdr>
                <w:top w:val="none" w:sz="0" w:space="0" w:color="auto"/>
                <w:left w:val="none" w:sz="0" w:space="0" w:color="auto"/>
                <w:bottom w:val="none" w:sz="0" w:space="0" w:color="auto"/>
                <w:right w:val="none" w:sz="0" w:space="0" w:color="auto"/>
              </w:divBdr>
              <w:divsChild>
                <w:div w:id="767579626">
                  <w:marLeft w:val="0"/>
                  <w:marRight w:val="0"/>
                  <w:marTop w:val="0"/>
                  <w:marBottom w:val="0"/>
                  <w:divBdr>
                    <w:top w:val="none" w:sz="0" w:space="0" w:color="auto"/>
                    <w:left w:val="none" w:sz="0" w:space="0" w:color="auto"/>
                    <w:bottom w:val="none" w:sz="0" w:space="0" w:color="auto"/>
                    <w:right w:val="none" w:sz="0" w:space="0" w:color="auto"/>
                  </w:divBdr>
                  <w:divsChild>
                    <w:div w:id="747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8094">
      <w:bodyDiv w:val="1"/>
      <w:marLeft w:val="0"/>
      <w:marRight w:val="0"/>
      <w:marTop w:val="0"/>
      <w:marBottom w:val="0"/>
      <w:divBdr>
        <w:top w:val="none" w:sz="0" w:space="0" w:color="auto"/>
        <w:left w:val="none" w:sz="0" w:space="0" w:color="auto"/>
        <w:bottom w:val="none" w:sz="0" w:space="0" w:color="auto"/>
        <w:right w:val="none" w:sz="0" w:space="0" w:color="auto"/>
      </w:divBdr>
      <w:divsChild>
        <w:div w:id="2091539203">
          <w:marLeft w:val="0"/>
          <w:marRight w:val="0"/>
          <w:marTop w:val="0"/>
          <w:marBottom w:val="0"/>
          <w:divBdr>
            <w:top w:val="none" w:sz="0" w:space="0" w:color="auto"/>
            <w:left w:val="none" w:sz="0" w:space="0" w:color="auto"/>
            <w:bottom w:val="none" w:sz="0" w:space="0" w:color="auto"/>
            <w:right w:val="none" w:sz="0" w:space="0" w:color="auto"/>
          </w:divBdr>
          <w:divsChild>
            <w:div w:id="84697158">
              <w:marLeft w:val="0"/>
              <w:marRight w:val="0"/>
              <w:marTop w:val="0"/>
              <w:marBottom w:val="0"/>
              <w:divBdr>
                <w:top w:val="none" w:sz="0" w:space="0" w:color="auto"/>
                <w:left w:val="none" w:sz="0" w:space="0" w:color="auto"/>
                <w:bottom w:val="none" w:sz="0" w:space="0" w:color="auto"/>
                <w:right w:val="none" w:sz="0" w:space="0" w:color="auto"/>
              </w:divBdr>
              <w:divsChild>
                <w:div w:id="1436171458">
                  <w:marLeft w:val="0"/>
                  <w:marRight w:val="0"/>
                  <w:marTop w:val="0"/>
                  <w:marBottom w:val="0"/>
                  <w:divBdr>
                    <w:top w:val="none" w:sz="0" w:space="0" w:color="auto"/>
                    <w:left w:val="none" w:sz="0" w:space="0" w:color="auto"/>
                    <w:bottom w:val="none" w:sz="0" w:space="0" w:color="auto"/>
                    <w:right w:val="none" w:sz="0" w:space="0" w:color="auto"/>
                  </w:divBdr>
                  <w:divsChild>
                    <w:div w:id="15957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28435">
      <w:bodyDiv w:val="1"/>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sChild>
            <w:div w:id="1977448008">
              <w:marLeft w:val="0"/>
              <w:marRight w:val="0"/>
              <w:marTop w:val="0"/>
              <w:marBottom w:val="0"/>
              <w:divBdr>
                <w:top w:val="none" w:sz="0" w:space="0" w:color="auto"/>
                <w:left w:val="none" w:sz="0" w:space="0" w:color="auto"/>
                <w:bottom w:val="none" w:sz="0" w:space="0" w:color="auto"/>
                <w:right w:val="none" w:sz="0" w:space="0" w:color="auto"/>
              </w:divBdr>
              <w:divsChild>
                <w:div w:id="243534598">
                  <w:marLeft w:val="0"/>
                  <w:marRight w:val="0"/>
                  <w:marTop w:val="0"/>
                  <w:marBottom w:val="0"/>
                  <w:divBdr>
                    <w:top w:val="none" w:sz="0" w:space="0" w:color="auto"/>
                    <w:left w:val="none" w:sz="0" w:space="0" w:color="auto"/>
                    <w:bottom w:val="none" w:sz="0" w:space="0" w:color="auto"/>
                    <w:right w:val="none" w:sz="0" w:space="0" w:color="auto"/>
                  </w:divBdr>
                  <w:divsChild>
                    <w:div w:id="13114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43366">
      <w:bodyDiv w:val="1"/>
      <w:marLeft w:val="0"/>
      <w:marRight w:val="0"/>
      <w:marTop w:val="0"/>
      <w:marBottom w:val="0"/>
      <w:divBdr>
        <w:top w:val="none" w:sz="0" w:space="0" w:color="auto"/>
        <w:left w:val="none" w:sz="0" w:space="0" w:color="auto"/>
        <w:bottom w:val="none" w:sz="0" w:space="0" w:color="auto"/>
        <w:right w:val="none" w:sz="0" w:space="0" w:color="auto"/>
      </w:divBdr>
      <w:divsChild>
        <w:div w:id="1231305283">
          <w:marLeft w:val="0"/>
          <w:marRight w:val="0"/>
          <w:marTop w:val="0"/>
          <w:marBottom w:val="0"/>
          <w:divBdr>
            <w:top w:val="none" w:sz="0" w:space="0" w:color="auto"/>
            <w:left w:val="none" w:sz="0" w:space="0" w:color="auto"/>
            <w:bottom w:val="none" w:sz="0" w:space="0" w:color="auto"/>
            <w:right w:val="none" w:sz="0" w:space="0" w:color="auto"/>
          </w:divBdr>
          <w:divsChild>
            <w:div w:id="1788349596">
              <w:marLeft w:val="0"/>
              <w:marRight w:val="0"/>
              <w:marTop w:val="0"/>
              <w:marBottom w:val="0"/>
              <w:divBdr>
                <w:top w:val="none" w:sz="0" w:space="0" w:color="auto"/>
                <w:left w:val="none" w:sz="0" w:space="0" w:color="auto"/>
                <w:bottom w:val="none" w:sz="0" w:space="0" w:color="auto"/>
                <w:right w:val="none" w:sz="0" w:space="0" w:color="auto"/>
              </w:divBdr>
              <w:divsChild>
                <w:div w:id="1363825436">
                  <w:marLeft w:val="0"/>
                  <w:marRight w:val="0"/>
                  <w:marTop w:val="0"/>
                  <w:marBottom w:val="0"/>
                  <w:divBdr>
                    <w:top w:val="none" w:sz="0" w:space="0" w:color="auto"/>
                    <w:left w:val="none" w:sz="0" w:space="0" w:color="auto"/>
                    <w:bottom w:val="none" w:sz="0" w:space="0" w:color="auto"/>
                    <w:right w:val="none" w:sz="0" w:space="0" w:color="auto"/>
                  </w:divBdr>
                  <w:divsChild>
                    <w:div w:id="136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09751">
      <w:bodyDiv w:val="1"/>
      <w:marLeft w:val="0"/>
      <w:marRight w:val="0"/>
      <w:marTop w:val="0"/>
      <w:marBottom w:val="0"/>
      <w:divBdr>
        <w:top w:val="none" w:sz="0" w:space="0" w:color="auto"/>
        <w:left w:val="none" w:sz="0" w:space="0" w:color="auto"/>
        <w:bottom w:val="none" w:sz="0" w:space="0" w:color="auto"/>
        <w:right w:val="none" w:sz="0" w:space="0" w:color="auto"/>
      </w:divBdr>
      <w:divsChild>
        <w:div w:id="1112356766">
          <w:marLeft w:val="0"/>
          <w:marRight w:val="0"/>
          <w:marTop w:val="0"/>
          <w:marBottom w:val="0"/>
          <w:divBdr>
            <w:top w:val="none" w:sz="0" w:space="0" w:color="auto"/>
            <w:left w:val="none" w:sz="0" w:space="0" w:color="auto"/>
            <w:bottom w:val="none" w:sz="0" w:space="0" w:color="auto"/>
            <w:right w:val="none" w:sz="0" w:space="0" w:color="auto"/>
          </w:divBdr>
          <w:divsChild>
            <w:div w:id="61491861">
              <w:marLeft w:val="0"/>
              <w:marRight w:val="0"/>
              <w:marTop w:val="0"/>
              <w:marBottom w:val="0"/>
              <w:divBdr>
                <w:top w:val="none" w:sz="0" w:space="0" w:color="auto"/>
                <w:left w:val="none" w:sz="0" w:space="0" w:color="auto"/>
                <w:bottom w:val="none" w:sz="0" w:space="0" w:color="auto"/>
                <w:right w:val="none" w:sz="0" w:space="0" w:color="auto"/>
              </w:divBdr>
              <w:divsChild>
                <w:div w:id="1018581324">
                  <w:marLeft w:val="0"/>
                  <w:marRight w:val="0"/>
                  <w:marTop w:val="0"/>
                  <w:marBottom w:val="0"/>
                  <w:divBdr>
                    <w:top w:val="none" w:sz="0" w:space="0" w:color="auto"/>
                    <w:left w:val="none" w:sz="0" w:space="0" w:color="auto"/>
                    <w:bottom w:val="none" w:sz="0" w:space="0" w:color="auto"/>
                    <w:right w:val="none" w:sz="0" w:space="0" w:color="auto"/>
                  </w:divBdr>
                  <w:divsChild>
                    <w:div w:id="2870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fcomptable.grouperf.com/lien_spad/index.php?base=LEGI&amp;code=LEGITEXT000005634379&amp;numero=L441-6&amp;orig=REVUE_RFCOMP_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rfcomptable.grouperf.com/lien_spad/index.php?base=LEGI&amp;code=LEGITEXT000005634379&amp;numero=L527-1&amp;orig=REVUE_RFCOMP_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rfcomptable.grouperf.com/lien_spad/index.php?base=LEGI&amp;code=LEGITEXT000005634379&amp;numero=L441-6&amp;orig=REVUE_RFCOMP_MS" TargetMode="External"/><Relationship Id="rId5" Type="http://schemas.openxmlformats.org/officeDocument/2006/relationships/webSettings" Target="webSettings.xml"/><Relationship Id="rId10" Type="http://schemas.openxmlformats.org/officeDocument/2006/relationships/hyperlink" Target="http://rfcomptable.grouperf.com/lien_spad/index.php?base=LEGI&amp;code=LEGITEXT000005634379&amp;numero=L441-6&amp;orig=REVUE_RFCOMP_MS" TargetMode="External"/><Relationship Id="rId4" Type="http://schemas.openxmlformats.org/officeDocument/2006/relationships/settings" Target="settings.xml"/><Relationship Id="rId9" Type="http://schemas.openxmlformats.org/officeDocument/2006/relationships/hyperlink" Target="http://rfcomptable.grouperf.com/lien_spad/index.php?base=LEGI&amp;code=LEGITEXT000005634379&amp;numero=L441-6&amp;orig=REVUE_RFCOMP_M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E61B-98E6-4A15-B680-78237FAE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18</Pages>
  <Words>11786</Words>
  <Characters>64211</Characters>
  <Application>Microsoft Office Word</Application>
  <DocSecurity>0</DocSecurity>
  <Lines>535</Lines>
  <Paragraphs>151</Paragraphs>
  <ScaleCrop>false</ScaleCrop>
  <HeadingPairs>
    <vt:vector size="2" baseType="variant">
      <vt:variant>
        <vt:lpstr>Titre</vt:lpstr>
      </vt:variant>
      <vt:variant>
        <vt:i4>1</vt:i4>
      </vt:variant>
    </vt:vector>
  </HeadingPairs>
  <TitlesOfParts>
    <vt:vector size="1" baseType="lpstr">
      <vt:lpstr>Bien gérer le risque client</vt:lpstr>
    </vt:vector>
  </TitlesOfParts>
  <Company/>
  <LinksUpToDate>false</LinksUpToDate>
  <CharactersWithSpaces>75846</CharactersWithSpaces>
  <SharedDoc>false</SharedDoc>
  <HLinks>
    <vt:vector size="30" baseType="variant">
      <vt:variant>
        <vt:i4>65658</vt:i4>
      </vt:variant>
      <vt:variant>
        <vt:i4>12</vt:i4>
      </vt:variant>
      <vt:variant>
        <vt:i4>0</vt:i4>
      </vt:variant>
      <vt:variant>
        <vt:i4>5</vt:i4>
      </vt:variant>
      <vt:variant>
        <vt:lpwstr>http://rfcomptable.grouperf.com/lien_spad/index.php?base=LEGI&amp;code=LEGITEXT000005634379&amp;numero=L527-1&amp;orig=REVUE_RFCOMP_MS</vt:lpwstr>
      </vt:variant>
      <vt:variant>
        <vt:lpwstr/>
      </vt:variant>
      <vt:variant>
        <vt:i4>458874</vt:i4>
      </vt:variant>
      <vt:variant>
        <vt:i4>9</vt:i4>
      </vt:variant>
      <vt:variant>
        <vt:i4>0</vt:i4>
      </vt:variant>
      <vt:variant>
        <vt:i4>5</vt:i4>
      </vt:variant>
      <vt:variant>
        <vt:lpwstr>http://rfcomptable.grouperf.com/lien_spad/index.php?base=LEGI&amp;code=LEGITEXT000005634379&amp;numero=L441-6&amp;orig=REVUE_RFCOMP_MS</vt:lpwstr>
      </vt:variant>
      <vt:variant>
        <vt:lpwstr/>
      </vt:variant>
      <vt:variant>
        <vt:i4>458874</vt:i4>
      </vt:variant>
      <vt:variant>
        <vt:i4>6</vt:i4>
      </vt:variant>
      <vt:variant>
        <vt:i4>0</vt:i4>
      </vt:variant>
      <vt:variant>
        <vt:i4>5</vt:i4>
      </vt:variant>
      <vt:variant>
        <vt:lpwstr>http://rfcomptable.grouperf.com/lien_spad/index.php?base=LEGI&amp;code=LEGITEXT000005634379&amp;numero=L441-6&amp;orig=REVUE_RFCOMP_MS</vt:lpwstr>
      </vt:variant>
      <vt:variant>
        <vt:lpwstr/>
      </vt:variant>
      <vt:variant>
        <vt:i4>458874</vt:i4>
      </vt:variant>
      <vt:variant>
        <vt:i4>3</vt:i4>
      </vt:variant>
      <vt:variant>
        <vt:i4>0</vt:i4>
      </vt:variant>
      <vt:variant>
        <vt:i4>5</vt:i4>
      </vt:variant>
      <vt:variant>
        <vt:lpwstr>http://rfcomptable.grouperf.com/lien_spad/index.php?base=LEGI&amp;code=LEGITEXT000005634379&amp;numero=L441-6&amp;orig=REVUE_RFCOMP_MS</vt:lpwstr>
      </vt:variant>
      <vt:variant>
        <vt:lpwstr/>
      </vt:variant>
      <vt:variant>
        <vt:i4>458874</vt:i4>
      </vt:variant>
      <vt:variant>
        <vt:i4>0</vt:i4>
      </vt:variant>
      <vt:variant>
        <vt:i4>0</vt:i4>
      </vt:variant>
      <vt:variant>
        <vt:i4>5</vt:i4>
      </vt:variant>
      <vt:variant>
        <vt:lpwstr>http://rfcomptable.grouperf.com/lien_spad/index.php?base=LEGI&amp;code=LEGITEXT000005634379&amp;numero=L441-6&amp;orig=REVUE_RFCOMP_MS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 gérer le risque client</dc:title>
  <dc:subject/>
  <dc:creator>sokoa</dc:creator>
  <cp:keywords/>
  <dc:description/>
  <cp:lastModifiedBy>Utilisateur Windows</cp:lastModifiedBy>
  <cp:revision>9</cp:revision>
  <cp:lastPrinted>2010-06-25T13:46:00Z</cp:lastPrinted>
  <dcterms:created xsi:type="dcterms:W3CDTF">2017-04-01T13:45:00Z</dcterms:created>
  <dcterms:modified xsi:type="dcterms:W3CDTF">2019-09-04T12:46:00Z</dcterms:modified>
</cp:coreProperties>
</file>