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57C" w:rsidRPr="00751170" w:rsidRDefault="000A357C" w:rsidP="004A3C11">
      <w:pPr>
        <w:pStyle w:val="Titre2"/>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spacing w:before="120" w:beforeAutospacing="0" w:after="120" w:afterAutospacing="0"/>
        <w:jc w:val="center"/>
        <w:rPr>
          <w:rFonts w:ascii="Calibri" w:hAnsi="Calibri"/>
          <w:color w:val="FFFFFF"/>
          <w:sz w:val="26"/>
          <w:szCs w:val="26"/>
        </w:rPr>
      </w:pPr>
      <w:r w:rsidRPr="00751170">
        <w:rPr>
          <w:rFonts w:ascii="Calibri" w:hAnsi="Calibri"/>
          <w:color w:val="FFFFFF"/>
          <w:sz w:val="26"/>
          <w:szCs w:val="26"/>
        </w:rPr>
        <w:t>Définition et calcul du DSO (</w:t>
      </w:r>
      <w:proofErr w:type="spellStart"/>
      <w:r w:rsidRPr="00751170">
        <w:rPr>
          <w:rFonts w:ascii="Calibri" w:hAnsi="Calibri"/>
          <w:color w:val="FFFFFF"/>
          <w:sz w:val="26"/>
          <w:szCs w:val="26"/>
        </w:rPr>
        <w:t>Days</w:t>
      </w:r>
      <w:proofErr w:type="spellEnd"/>
      <w:r w:rsidRPr="00751170">
        <w:rPr>
          <w:rFonts w:ascii="Calibri" w:hAnsi="Calibri"/>
          <w:color w:val="FFFFFF"/>
          <w:sz w:val="26"/>
          <w:szCs w:val="26"/>
        </w:rPr>
        <w:t xml:space="preserve"> Sales </w:t>
      </w:r>
      <w:proofErr w:type="spellStart"/>
      <w:r w:rsidRPr="00751170">
        <w:rPr>
          <w:rFonts w:ascii="Calibri" w:hAnsi="Calibri"/>
          <w:color w:val="FFFFFF"/>
          <w:sz w:val="26"/>
          <w:szCs w:val="26"/>
        </w:rPr>
        <w:t>Outstanding</w:t>
      </w:r>
      <w:proofErr w:type="spellEnd"/>
      <w:r w:rsidRPr="00751170">
        <w:rPr>
          <w:rFonts w:ascii="Calibri" w:hAnsi="Calibri"/>
          <w:color w:val="FFFFFF"/>
          <w:sz w:val="26"/>
          <w:szCs w:val="26"/>
        </w:rPr>
        <w:t>), composante du BFR</w:t>
      </w:r>
    </w:p>
    <w:tbl>
      <w:tblPr>
        <w:tblStyle w:val="Grilledutableau"/>
        <w:tblW w:w="10319" w:type="dxa"/>
        <w:tblInd w:w="-5" w:type="dxa"/>
        <w:shd w:val="clear" w:color="auto" w:fill="F2F2F2" w:themeFill="background1" w:themeFillShade="F2"/>
        <w:tblLook w:val="04A0" w:firstRow="1" w:lastRow="0" w:firstColumn="1" w:lastColumn="0" w:noHBand="0" w:noVBand="1"/>
      </w:tblPr>
      <w:tblGrid>
        <w:gridCol w:w="10319"/>
      </w:tblGrid>
      <w:tr w:rsidR="00751170" w:rsidRPr="00751170" w:rsidTr="00E05800">
        <w:tc>
          <w:tcPr>
            <w:tcW w:w="10319" w:type="dxa"/>
            <w:shd w:val="clear" w:color="auto" w:fill="F2F2F2" w:themeFill="background1" w:themeFillShade="F2"/>
          </w:tcPr>
          <w:p w:rsidR="00AD58E8" w:rsidRDefault="00751170" w:rsidP="00BB5A31">
            <w:pPr>
              <w:pStyle w:val="Titre3"/>
              <w:spacing w:before="120" w:beforeAutospacing="0" w:after="60" w:afterAutospacing="0"/>
              <w:ind w:left="170" w:right="170"/>
              <w:jc w:val="both"/>
              <w:rPr>
                <w:rFonts w:ascii="Calibri" w:hAnsi="Calibri"/>
                <w:b w:val="0"/>
                <w:color w:val="002060"/>
                <w:sz w:val="20"/>
                <w:szCs w:val="20"/>
              </w:rPr>
            </w:pPr>
            <w:r w:rsidRPr="00751170">
              <w:rPr>
                <w:rFonts w:ascii="Calibri" w:hAnsi="Calibri"/>
                <w:b w:val="0"/>
                <w:color w:val="002060"/>
                <w:sz w:val="20"/>
                <w:szCs w:val="20"/>
              </w:rPr>
              <w:t xml:space="preserve">Le </w:t>
            </w:r>
            <w:r w:rsidRPr="00751170">
              <w:rPr>
                <w:rFonts w:ascii="Calibri" w:hAnsi="Calibri"/>
                <w:color w:val="002060"/>
                <w:sz w:val="20"/>
                <w:szCs w:val="20"/>
              </w:rPr>
              <w:t>DSO</w:t>
            </w:r>
            <w:r w:rsidRPr="00751170">
              <w:rPr>
                <w:rFonts w:ascii="Calibri" w:hAnsi="Calibri"/>
                <w:b w:val="0"/>
                <w:color w:val="002060"/>
                <w:sz w:val="20"/>
                <w:szCs w:val="20"/>
              </w:rPr>
              <w:t xml:space="preserve"> (</w:t>
            </w:r>
            <w:proofErr w:type="spellStart"/>
            <w:r w:rsidRPr="00751170">
              <w:rPr>
                <w:rFonts w:ascii="Calibri" w:hAnsi="Calibri"/>
                <w:b w:val="0"/>
                <w:color w:val="002060"/>
                <w:sz w:val="20"/>
                <w:szCs w:val="20"/>
              </w:rPr>
              <w:t>Days</w:t>
            </w:r>
            <w:proofErr w:type="spellEnd"/>
            <w:r w:rsidRPr="00751170">
              <w:rPr>
                <w:rFonts w:ascii="Calibri" w:hAnsi="Calibri"/>
                <w:b w:val="0"/>
                <w:color w:val="002060"/>
                <w:sz w:val="20"/>
                <w:szCs w:val="20"/>
              </w:rPr>
              <w:t xml:space="preserve"> Sales </w:t>
            </w:r>
            <w:proofErr w:type="spellStart"/>
            <w:r w:rsidRPr="00751170">
              <w:rPr>
                <w:rFonts w:ascii="Calibri" w:hAnsi="Calibri"/>
                <w:b w:val="0"/>
                <w:color w:val="002060"/>
                <w:sz w:val="20"/>
                <w:szCs w:val="20"/>
              </w:rPr>
              <w:t>Outstanding</w:t>
            </w:r>
            <w:proofErr w:type="spellEnd"/>
            <w:r w:rsidRPr="00751170">
              <w:rPr>
                <w:rFonts w:ascii="Calibri" w:hAnsi="Calibri"/>
                <w:b w:val="0"/>
                <w:color w:val="002060"/>
                <w:sz w:val="20"/>
                <w:szCs w:val="20"/>
              </w:rPr>
              <w:t xml:space="preserve">) ou </w:t>
            </w:r>
            <w:r w:rsidRPr="00751170">
              <w:rPr>
                <w:rFonts w:ascii="Calibri" w:hAnsi="Calibri"/>
                <w:color w:val="002060"/>
                <w:sz w:val="20"/>
                <w:szCs w:val="20"/>
              </w:rPr>
              <w:t>NJC</w:t>
            </w:r>
            <w:r w:rsidRPr="00751170">
              <w:rPr>
                <w:rFonts w:ascii="Calibri" w:hAnsi="Calibri"/>
                <w:b w:val="0"/>
                <w:color w:val="002060"/>
                <w:sz w:val="20"/>
                <w:szCs w:val="20"/>
              </w:rPr>
              <w:t xml:space="preserve"> (Nombre de Jours de Crédit clients) ou DMP (Délai Moyen de Paiement des clients) est le chiffre d'affaires facturé non encore encaissé ou l'encours client ou la rotation du crédit clients exprimé en nombre de jours de chiffre d'affaires. </w:t>
            </w:r>
          </w:p>
          <w:p w:rsidR="00AD58E8" w:rsidRPr="00AD58E8" w:rsidRDefault="00AD58E8" w:rsidP="00BB5A31">
            <w:pPr>
              <w:spacing w:after="60"/>
              <w:ind w:left="170" w:right="170"/>
              <w:jc w:val="both"/>
              <w:rPr>
                <w:rFonts w:ascii="Calibri" w:hAnsi="Calibri" w:cs="Tahoma"/>
                <w:color w:val="002060"/>
                <w:sz w:val="20"/>
                <w:szCs w:val="25"/>
              </w:rPr>
            </w:pPr>
            <w:r>
              <w:rPr>
                <w:rFonts w:ascii="Calibri" w:hAnsi="Calibri" w:cs="Tahoma"/>
                <w:color w:val="002060"/>
                <w:sz w:val="20"/>
                <w:szCs w:val="25"/>
              </w:rPr>
              <w:t>Autrement dit, il exprime</w:t>
            </w:r>
            <w:r w:rsidRPr="00AD58E8">
              <w:rPr>
                <w:rFonts w:ascii="Calibri" w:hAnsi="Calibri" w:cs="Tahoma"/>
                <w:color w:val="002060"/>
                <w:sz w:val="20"/>
                <w:szCs w:val="25"/>
              </w:rPr>
              <w:t xml:space="preserve"> le nombre de jours de chiffre d'affaires </w:t>
            </w:r>
            <w:r w:rsidRPr="00AD58E8">
              <w:rPr>
                <w:rFonts w:ascii="Calibri" w:hAnsi="Calibri" w:cs="Tahoma"/>
                <w:b/>
                <w:color w:val="002060"/>
                <w:sz w:val="20"/>
                <w:szCs w:val="25"/>
              </w:rPr>
              <w:t>immobilisé</w:t>
            </w:r>
            <w:r w:rsidRPr="00AD58E8">
              <w:rPr>
                <w:rFonts w:ascii="Calibri" w:hAnsi="Calibri" w:cs="Tahoma"/>
                <w:color w:val="002060"/>
                <w:sz w:val="20"/>
                <w:szCs w:val="25"/>
              </w:rPr>
              <w:t xml:space="preserve"> dans le poste clients</w:t>
            </w:r>
            <w:r w:rsidR="00106D63">
              <w:rPr>
                <w:rFonts w:ascii="Calibri" w:hAnsi="Calibri" w:cs="Tahoma"/>
                <w:color w:val="002060"/>
                <w:sz w:val="20"/>
                <w:szCs w:val="25"/>
              </w:rPr>
              <w:t xml:space="preserve"> et</w:t>
            </w:r>
            <w:r>
              <w:rPr>
                <w:rFonts w:ascii="Calibri" w:hAnsi="Calibri" w:cs="Tahoma"/>
                <w:color w:val="002060"/>
                <w:sz w:val="20"/>
                <w:szCs w:val="25"/>
              </w:rPr>
              <w:t xml:space="preserve"> constitue </w:t>
            </w:r>
            <w:r w:rsidR="00106D63">
              <w:rPr>
                <w:rFonts w:ascii="Calibri" w:hAnsi="Calibri" w:cs="Tahoma"/>
                <w:color w:val="002060"/>
                <w:sz w:val="20"/>
                <w:szCs w:val="25"/>
              </w:rPr>
              <w:t xml:space="preserve">en cela </w:t>
            </w:r>
            <w:r w:rsidRPr="00AD58E8">
              <w:rPr>
                <w:rFonts w:ascii="Calibri" w:hAnsi="Calibri" w:cs="Tahoma"/>
                <w:color w:val="002060"/>
                <w:sz w:val="20"/>
                <w:szCs w:val="25"/>
              </w:rPr>
              <w:t>un indicateur de performance de la gestion du poste clients.</w:t>
            </w:r>
          </w:p>
          <w:p w:rsidR="00751170" w:rsidRPr="00751170" w:rsidRDefault="00751170" w:rsidP="00BB5A31">
            <w:pPr>
              <w:pStyle w:val="Titre3"/>
              <w:spacing w:before="60" w:beforeAutospacing="0" w:after="120" w:afterAutospacing="0"/>
              <w:ind w:left="170" w:right="170"/>
              <w:jc w:val="both"/>
              <w:rPr>
                <w:rFonts w:ascii="Calibri" w:hAnsi="Calibri"/>
                <w:b w:val="0"/>
                <w:color w:val="002060"/>
                <w:sz w:val="20"/>
                <w:szCs w:val="20"/>
              </w:rPr>
            </w:pPr>
            <w:r w:rsidRPr="00751170">
              <w:rPr>
                <w:rFonts w:ascii="Calibri" w:hAnsi="Calibri"/>
                <w:b w:val="0"/>
                <w:color w:val="002060"/>
                <w:sz w:val="20"/>
                <w:szCs w:val="20"/>
              </w:rPr>
              <w:t xml:space="preserve">Le DSO est une composante du BFR </w:t>
            </w:r>
          </w:p>
        </w:tc>
      </w:tr>
    </w:tbl>
    <w:p w:rsidR="00751170" w:rsidRDefault="000A357C" w:rsidP="00751170">
      <w:pPr>
        <w:spacing w:before="120" w:after="60"/>
        <w:jc w:val="both"/>
        <w:rPr>
          <w:rFonts w:ascii="Calibri" w:hAnsi="Calibri"/>
          <w:color w:val="002060"/>
          <w:sz w:val="20"/>
          <w:szCs w:val="20"/>
        </w:rPr>
      </w:pPr>
      <w:r w:rsidRPr="008335CB">
        <w:rPr>
          <w:rFonts w:ascii="Calibri" w:hAnsi="Calibri"/>
          <w:color w:val="002060"/>
          <w:sz w:val="20"/>
          <w:szCs w:val="20"/>
        </w:rPr>
        <w:t xml:space="preserve">Le besoin en fonds de roulement (BFR) est un </w:t>
      </w:r>
      <w:r w:rsidRPr="00BB5A31">
        <w:rPr>
          <w:rFonts w:ascii="Calibri" w:hAnsi="Calibri"/>
          <w:b/>
          <w:color w:val="C00000"/>
          <w:sz w:val="20"/>
          <w:szCs w:val="20"/>
        </w:rPr>
        <w:t>besoin en capitaux</w:t>
      </w:r>
      <w:r w:rsidRPr="00BB5A31">
        <w:rPr>
          <w:rFonts w:ascii="Calibri" w:hAnsi="Calibri"/>
          <w:color w:val="C00000"/>
          <w:sz w:val="20"/>
          <w:szCs w:val="20"/>
        </w:rPr>
        <w:t xml:space="preserve"> </w:t>
      </w:r>
      <w:r w:rsidRPr="008335CB">
        <w:rPr>
          <w:rFonts w:ascii="Calibri" w:hAnsi="Calibri"/>
          <w:color w:val="002060"/>
          <w:sz w:val="20"/>
          <w:szCs w:val="20"/>
        </w:rPr>
        <w:t xml:space="preserve">d'une entreprise qui trouve son origine dans le décalage temporel entre les flux sortants de liquidité (paiement des achats) et les flux entrants (paiement des ventes). </w:t>
      </w:r>
    </w:p>
    <w:p w:rsidR="00751170" w:rsidRDefault="000A357C" w:rsidP="00751170">
      <w:pPr>
        <w:spacing w:after="60"/>
        <w:jc w:val="both"/>
        <w:rPr>
          <w:rFonts w:ascii="Calibri" w:hAnsi="Calibri"/>
          <w:color w:val="002060"/>
          <w:sz w:val="20"/>
          <w:szCs w:val="20"/>
        </w:rPr>
      </w:pPr>
      <w:r w:rsidRPr="008335CB">
        <w:rPr>
          <w:rFonts w:ascii="Calibri" w:hAnsi="Calibri"/>
          <w:color w:val="002060"/>
          <w:sz w:val="20"/>
          <w:szCs w:val="20"/>
        </w:rPr>
        <w:t xml:space="preserve">Il s'agit donc des capitaux nécessaires pour financer le cycle d'exploitation d'une entreprise. </w:t>
      </w:r>
    </w:p>
    <w:p w:rsidR="00D5215D" w:rsidRPr="008335CB" w:rsidRDefault="000A357C" w:rsidP="00751170">
      <w:pPr>
        <w:spacing w:after="60"/>
        <w:jc w:val="both"/>
        <w:rPr>
          <w:rFonts w:ascii="Calibri" w:hAnsi="Calibri"/>
          <w:color w:val="002060"/>
          <w:sz w:val="20"/>
          <w:szCs w:val="20"/>
        </w:rPr>
      </w:pPr>
      <w:r w:rsidRPr="008335CB">
        <w:rPr>
          <w:rFonts w:ascii="Calibri" w:hAnsi="Calibri"/>
          <w:color w:val="002060"/>
          <w:sz w:val="20"/>
          <w:szCs w:val="20"/>
        </w:rPr>
        <w:t xml:space="preserve">Le BFR peut s'exprimer en un montant absolu (les capitaux en question) mais aussi en nombre de jours. </w:t>
      </w:r>
    </w:p>
    <w:p w:rsidR="008335CB" w:rsidRDefault="000A357C" w:rsidP="00751170">
      <w:pPr>
        <w:spacing w:after="60"/>
        <w:jc w:val="both"/>
        <w:rPr>
          <w:rFonts w:ascii="Calibri" w:hAnsi="Calibri"/>
          <w:color w:val="002060"/>
          <w:sz w:val="20"/>
          <w:szCs w:val="20"/>
        </w:rPr>
      </w:pPr>
      <w:r w:rsidRPr="008335CB">
        <w:rPr>
          <w:rFonts w:ascii="Calibri" w:hAnsi="Calibri"/>
          <w:color w:val="002060"/>
          <w:sz w:val="20"/>
          <w:szCs w:val="20"/>
        </w:rPr>
        <w:t xml:space="preserve">Ce nombre de jours du BFR (mesure DWC : </w:t>
      </w:r>
      <w:proofErr w:type="spellStart"/>
      <w:r w:rsidRPr="008335CB">
        <w:rPr>
          <w:rFonts w:ascii="Calibri" w:hAnsi="Calibri"/>
          <w:color w:val="002060"/>
          <w:sz w:val="20"/>
          <w:szCs w:val="20"/>
        </w:rPr>
        <w:t>Days</w:t>
      </w:r>
      <w:proofErr w:type="spellEnd"/>
      <w:r w:rsidRPr="008335CB">
        <w:rPr>
          <w:rFonts w:ascii="Calibri" w:hAnsi="Calibri"/>
          <w:color w:val="002060"/>
          <w:sz w:val="20"/>
          <w:szCs w:val="20"/>
        </w:rPr>
        <w:t xml:space="preserve"> </w:t>
      </w:r>
      <w:proofErr w:type="spellStart"/>
      <w:r w:rsidRPr="008335CB">
        <w:rPr>
          <w:rFonts w:ascii="Calibri" w:hAnsi="Calibri"/>
          <w:color w:val="002060"/>
          <w:sz w:val="20"/>
          <w:szCs w:val="20"/>
        </w:rPr>
        <w:t>Working</w:t>
      </w:r>
      <w:proofErr w:type="spellEnd"/>
      <w:r w:rsidRPr="008335CB">
        <w:rPr>
          <w:rFonts w:ascii="Calibri" w:hAnsi="Calibri"/>
          <w:color w:val="002060"/>
          <w:sz w:val="20"/>
          <w:szCs w:val="20"/>
        </w:rPr>
        <w:t xml:space="preserve"> Capital) est la résultante de </w:t>
      </w:r>
      <w:r w:rsidR="00751170">
        <w:rPr>
          <w:rFonts w:ascii="Calibri" w:hAnsi="Calibri"/>
          <w:color w:val="002060"/>
          <w:sz w:val="20"/>
          <w:szCs w:val="20"/>
        </w:rPr>
        <w:t>3</w:t>
      </w:r>
      <w:r w:rsidRPr="008335CB">
        <w:rPr>
          <w:rFonts w:ascii="Calibri" w:hAnsi="Calibri"/>
          <w:color w:val="002060"/>
          <w:sz w:val="20"/>
          <w:szCs w:val="20"/>
        </w:rPr>
        <w:t xml:space="preserve"> composantes : </w:t>
      </w:r>
    </w:p>
    <w:p w:rsidR="008335CB" w:rsidRDefault="000A357C" w:rsidP="00751170">
      <w:pPr>
        <w:spacing w:after="60"/>
        <w:ind w:left="170" w:hanging="170"/>
        <w:jc w:val="both"/>
        <w:rPr>
          <w:rFonts w:ascii="Calibri" w:hAnsi="Calibri"/>
          <w:color w:val="002060"/>
          <w:sz w:val="20"/>
          <w:szCs w:val="20"/>
        </w:rPr>
      </w:pPr>
      <w:r w:rsidRPr="008335CB">
        <w:rPr>
          <w:rFonts w:ascii="Calibri" w:hAnsi="Calibri"/>
          <w:color w:val="002060"/>
          <w:sz w:val="20"/>
          <w:szCs w:val="20"/>
        </w:rPr>
        <w:t xml:space="preserve">• </w:t>
      </w:r>
      <w:r w:rsidRPr="008335CB">
        <w:rPr>
          <w:rFonts w:ascii="Calibri" w:hAnsi="Calibri"/>
          <w:b/>
          <w:color w:val="002060"/>
          <w:sz w:val="20"/>
          <w:szCs w:val="20"/>
        </w:rPr>
        <w:t>DSO</w:t>
      </w:r>
      <w:r w:rsidRPr="008335CB">
        <w:rPr>
          <w:rFonts w:ascii="Calibri" w:hAnsi="Calibri"/>
          <w:color w:val="002060"/>
          <w:sz w:val="20"/>
          <w:szCs w:val="20"/>
        </w:rPr>
        <w:t xml:space="preserve"> (</w:t>
      </w:r>
      <w:proofErr w:type="spellStart"/>
      <w:r w:rsidRPr="008335CB">
        <w:rPr>
          <w:rFonts w:ascii="Calibri" w:hAnsi="Calibri"/>
          <w:color w:val="002060"/>
          <w:sz w:val="20"/>
          <w:szCs w:val="20"/>
        </w:rPr>
        <w:t>Days</w:t>
      </w:r>
      <w:proofErr w:type="spellEnd"/>
      <w:r w:rsidRPr="008335CB">
        <w:rPr>
          <w:rFonts w:ascii="Calibri" w:hAnsi="Calibri"/>
          <w:color w:val="002060"/>
          <w:sz w:val="20"/>
          <w:szCs w:val="20"/>
        </w:rPr>
        <w:t xml:space="preserve"> Sales </w:t>
      </w:r>
      <w:proofErr w:type="spellStart"/>
      <w:r w:rsidRPr="008335CB">
        <w:rPr>
          <w:rFonts w:ascii="Calibri" w:hAnsi="Calibri"/>
          <w:color w:val="002060"/>
          <w:sz w:val="20"/>
          <w:szCs w:val="20"/>
        </w:rPr>
        <w:t>Outstanding</w:t>
      </w:r>
      <w:proofErr w:type="spellEnd"/>
      <w:r w:rsidRPr="008335CB">
        <w:rPr>
          <w:rFonts w:ascii="Calibri" w:hAnsi="Calibri"/>
          <w:color w:val="002060"/>
          <w:sz w:val="20"/>
          <w:szCs w:val="20"/>
        </w:rPr>
        <w:t xml:space="preserve">): nombre de jours avant de recevoir le paiement du client ou nombre de jours de rotation des clients </w:t>
      </w:r>
    </w:p>
    <w:p w:rsidR="008335CB" w:rsidRDefault="000A357C" w:rsidP="00751170">
      <w:pPr>
        <w:spacing w:after="60"/>
        <w:ind w:left="170" w:hanging="170"/>
        <w:jc w:val="both"/>
        <w:rPr>
          <w:rFonts w:ascii="Calibri" w:hAnsi="Calibri"/>
          <w:color w:val="002060"/>
          <w:sz w:val="20"/>
          <w:szCs w:val="20"/>
        </w:rPr>
      </w:pPr>
      <w:r w:rsidRPr="008335CB">
        <w:rPr>
          <w:rFonts w:ascii="Calibri" w:hAnsi="Calibri"/>
          <w:color w:val="002060"/>
          <w:sz w:val="20"/>
          <w:szCs w:val="20"/>
        </w:rPr>
        <w:t xml:space="preserve">• </w:t>
      </w:r>
      <w:r w:rsidRPr="008335CB">
        <w:rPr>
          <w:rFonts w:ascii="Calibri" w:hAnsi="Calibri"/>
          <w:b/>
          <w:color w:val="002060"/>
          <w:sz w:val="20"/>
          <w:szCs w:val="20"/>
        </w:rPr>
        <w:t>DIO</w:t>
      </w:r>
      <w:r w:rsidRPr="008335CB">
        <w:rPr>
          <w:rFonts w:ascii="Calibri" w:hAnsi="Calibri"/>
          <w:color w:val="002060"/>
          <w:sz w:val="20"/>
          <w:szCs w:val="20"/>
        </w:rPr>
        <w:t xml:space="preserve"> (</w:t>
      </w:r>
      <w:proofErr w:type="spellStart"/>
      <w:r w:rsidRPr="008335CB">
        <w:rPr>
          <w:rFonts w:ascii="Calibri" w:hAnsi="Calibri"/>
          <w:color w:val="002060"/>
          <w:sz w:val="20"/>
          <w:szCs w:val="20"/>
        </w:rPr>
        <w:t>Days</w:t>
      </w:r>
      <w:proofErr w:type="spellEnd"/>
      <w:r w:rsidRPr="008335CB">
        <w:rPr>
          <w:rFonts w:ascii="Calibri" w:hAnsi="Calibri"/>
          <w:color w:val="002060"/>
          <w:sz w:val="20"/>
          <w:szCs w:val="20"/>
        </w:rPr>
        <w:t xml:space="preserve"> Inventories </w:t>
      </w:r>
      <w:proofErr w:type="spellStart"/>
      <w:r w:rsidRPr="008335CB">
        <w:rPr>
          <w:rFonts w:ascii="Calibri" w:hAnsi="Calibri"/>
          <w:color w:val="002060"/>
          <w:sz w:val="20"/>
          <w:szCs w:val="20"/>
        </w:rPr>
        <w:t>Outstanding</w:t>
      </w:r>
      <w:proofErr w:type="spellEnd"/>
      <w:r w:rsidRPr="008335CB">
        <w:rPr>
          <w:rFonts w:ascii="Calibri" w:hAnsi="Calibri"/>
          <w:color w:val="002060"/>
          <w:sz w:val="20"/>
          <w:szCs w:val="20"/>
        </w:rPr>
        <w:t xml:space="preserve">): nombre de jours qu'un bien reste en stock </w:t>
      </w:r>
    </w:p>
    <w:p w:rsidR="00D5215D" w:rsidRPr="008335CB" w:rsidRDefault="000A357C" w:rsidP="008335CB">
      <w:pPr>
        <w:spacing w:after="60"/>
        <w:ind w:left="170" w:hanging="170"/>
        <w:jc w:val="both"/>
        <w:rPr>
          <w:rFonts w:ascii="Calibri" w:hAnsi="Calibri"/>
          <w:color w:val="002060"/>
          <w:sz w:val="20"/>
          <w:szCs w:val="20"/>
        </w:rPr>
      </w:pPr>
      <w:r w:rsidRPr="008335CB">
        <w:rPr>
          <w:rFonts w:ascii="Calibri" w:hAnsi="Calibri"/>
          <w:color w:val="002060"/>
          <w:sz w:val="20"/>
          <w:szCs w:val="20"/>
        </w:rPr>
        <w:t xml:space="preserve">• </w:t>
      </w:r>
      <w:r w:rsidRPr="008335CB">
        <w:rPr>
          <w:rFonts w:ascii="Calibri" w:hAnsi="Calibri"/>
          <w:b/>
          <w:color w:val="002060"/>
          <w:sz w:val="20"/>
          <w:szCs w:val="20"/>
        </w:rPr>
        <w:t>DPO</w:t>
      </w:r>
      <w:r w:rsidRPr="008335CB">
        <w:rPr>
          <w:rFonts w:ascii="Calibri" w:hAnsi="Calibri"/>
          <w:color w:val="002060"/>
          <w:sz w:val="20"/>
          <w:szCs w:val="20"/>
        </w:rPr>
        <w:t xml:space="preserve"> (</w:t>
      </w:r>
      <w:proofErr w:type="spellStart"/>
      <w:r w:rsidRPr="008335CB">
        <w:rPr>
          <w:rFonts w:ascii="Calibri" w:hAnsi="Calibri"/>
          <w:color w:val="002060"/>
          <w:sz w:val="20"/>
          <w:szCs w:val="20"/>
        </w:rPr>
        <w:t>Days</w:t>
      </w:r>
      <w:proofErr w:type="spellEnd"/>
      <w:r w:rsidRPr="008335CB">
        <w:rPr>
          <w:rFonts w:ascii="Calibri" w:hAnsi="Calibri"/>
          <w:color w:val="002060"/>
          <w:sz w:val="20"/>
          <w:szCs w:val="20"/>
        </w:rPr>
        <w:t xml:space="preserve"> Payable </w:t>
      </w:r>
      <w:proofErr w:type="spellStart"/>
      <w:r w:rsidRPr="008335CB">
        <w:rPr>
          <w:rFonts w:ascii="Calibri" w:hAnsi="Calibri"/>
          <w:color w:val="002060"/>
          <w:sz w:val="20"/>
          <w:szCs w:val="20"/>
        </w:rPr>
        <w:t>Outstanding</w:t>
      </w:r>
      <w:proofErr w:type="spellEnd"/>
      <w:r w:rsidRPr="008335CB">
        <w:rPr>
          <w:rFonts w:ascii="Calibri" w:hAnsi="Calibri"/>
          <w:color w:val="002060"/>
          <w:sz w:val="20"/>
          <w:szCs w:val="20"/>
        </w:rPr>
        <w:t xml:space="preserve">): nombre de jours avant de payer ses fournisseurs ou nombre de jours de rotation des fournisseurs. </w:t>
      </w:r>
    </w:p>
    <w:p w:rsidR="00751170" w:rsidRDefault="000A357C" w:rsidP="00751170">
      <w:pPr>
        <w:spacing w:after="60"/>
        <w:jc w:val="both"/>
        <w:rPr>
          <w:rFonts w:ascii="Calibri" w:hAnsi="Calibri"/>
          <w:color w:val="002060"/>
          <w:sz w:val="20"/>
          <w:szCs w:val="20"/>
        </w:rPr>
      </w:pPr>
      <w:r w:rsidRPr="008335CB">
        <w:rPr>
          <w:rFonts w:ascii="Calibri" w:hAnsi="Calibri"/>
          <w:color w:val="002060"/>
          <w:sz w:val="20"/>
          <w:szCs w:val="20"/>
        </w:rPr>
        <w:t>C'est le DSO, composante du BFR que nous all</w:t>
      </w:r>
      <w:r w:rsidR="00D5215D" w:rsidRPr="008335CB">
        <w:rPr>
          <w:rFonts w:ascii="Calibri" w:hAnsi="Calibri"/>
          <w:color w:val="002060"/>
          <w:sz w:val="20"/>
          <w:szCs w:val="20"/>
        </w:rPr>
        <w:t xml:space="preserve">ons étudier </w:t>
      </w:r>
      <w:r w:rsidR="00751170">
        <w:rPr>
          <w:rFonts w:ascii="Calibri" w:hAnsi="Calibri"/>
          <w:color w:val="002060"/>
          <w:sz w:val="20"/>
          <w:szCs w:val="20"/>
        </w:rPr>
        <w:t>ci-dessous</w:t>
      </w:r>
      <w:r w:rsidR="00D5215D" w:rsidRPr="008335CB">
        <w:rPr>
          <w:rFonts w:ascii="Calibri" w:hAnsi="Calibri"/>
          <w:color w:val="002060"/>
          <w:sz w:val="20"/>
          <w:szCs w:val="20"/>
        </w:rPr>
        <w:t xml:space="preserve"> : </w:t>
      </w:r>
      <w:r w:rsidRPr="008335CB">
        <w:rPr>
          <w:rFonts w:ascii="Calibri" w:hAnsi="Calibri"/>
          <w:color w:val="002060"/>
          <w:sz w:val="20"/>
          <w:szCs w:val="20"/>
        </w:rPr>
        <w:t xml:space="preserve">Le DSO indique le risque client et permet de préciser l'efficacité des mesures de recouvrement internes d'une entreprise, son évolution indique l'amélioration ou la dégradation du risque ainsi que l'amélioration ou la dégradation de la performance du recouvrement. </w:t>
      </w:r>
    </w:p>
    <w:p w:rsidR="00751170" w:rsidRDefault="00751170" w:rsidP="00751170">
      <w:pPr>
        <w:spacing w:after="60"/>
        <w:jc w:val="both"/>
        <w:rPr>
          <w:rFonts w:ascii="Calibri" w:hAnsi="Calibri"/>
          <w:color w:val="002060"/>
          <w:sz w:val="20"/>
          <w:szCs w:val="20"/>
        </w:rPr>
      </w:pPr>
      <w:r>
        <w:rPr>
          <w:rFonts w:ascii="Calibri" w:hAnsi="Calibri"/>
          <w:color w:val="002060"/>
          <w:sz w:val="20"/>
          <w:szCs w:val="20"/>
        </w:rPr>
        <w:t>L</w:t>
      </w:r>
      <w:r w:rsidR="000A357C" w:rsidRPr="008335CB">
        <w:rPr>
          <w:rFonts w:ascii="Calibri" w:hAnsi="Calibri"/>
          <w:color w:val="002060"/>
          <w:sz w:val="20"/>
          <w:szCs w:val="20"/>
        </w:rPr>
        <w:t>es deux méthodes principales</w:t>
      </w:r>
      <w:r>
        <w:rPr>
          <w:rFonts w:ascii="Calibri" w:hAnsi="Calibri"/>
          <w:color w:val="002060"/>
          <w:sz w:val="20"/>
          <w:szCs w:val="20"/>
        </w:rPr>
        <w:t xml:space="preserve"> de calcul sont : l</w:t>
      </w:r>
    </w:p>
    <w:p w:rsidR="00751170" w:rsidRDefault="00751170" w:rsidP="00751170">
      <w:pPr>
        <w:spacing w:after="60"/>
        <w:jc w:val="both"/>
        <w:rPr>
          <w:rFonts w:ascii="Calibri" w:hAnsi="Calibri"/>
          <w:color w:val="002060"/>
          <w:sz w:val="20"/>
          <w:szCs w:val="20"/>
        </w:rPr>
      </w:pPr>
      <w:r>
        <w:rPr>
          <w:rFonts w:ascii="Calibri" w:hAnsi="Calibri"/>
          <w:color w:val="002060"/>
          <w:sz w:val="20"/>
          <w:szCs w:val="20"/>
        </w:rPr>
        <w:t>1. l</w:t>
      </w:r>
      <w:r w:rsidR="000A357C" w:rsidRPr="008335CB">
        <w:rPr>
          <w:rFonts w:ascii="Calibri" w:hAnsi="Calibri"/>
          <w:color w:val="002060"/>
          <w:sz w:val="20"/>
          <w:szCs w:val="20"/>
        </w:rPr>
        <w:t xml:space="preserve">a méthode </w:t>
      </w:r>
      <w:smartTag w:uri="urn:schemas-microsoft-com:office:smarttags" w:element="PersonName">
        <w:r w:rsidR="000A357C" w:rsidRPr="008335CB">
          <w:rPr>
            <w:rFonts w:ascii="Calibri" w:hAnsi="Calibri"/>
            <w:color w:val="002060"/>
            <w:sz w:val="20"/>
            <w:szCs w:val="20"/>
          </w:rPr>
          <w:t>compta</w:t>
        </w:r>
      </w:smartTag>
      <w:r w:rsidR="000A357C" w:rsidRPr="008335CB">
        <w:rPr>
          <w:rFonts w:ascii="Calibri" w:hAnsi="Calibri"/>
          <w:color w:val="002060"/>
          <w:sz w:val="20"/>
          <w:szCs w:val="20"/>
        </w:rPr>
        <w:t xml:space="preserve">ble </w:t>
      </w:r>
    </w:p>
    <w:p w:rsidR="008335CB" w:rsidRDefault="00751170" w:rsidP="00751170">
      <w:pPr>
        <w:spacing w:after="120"/>
        <w:jc w:val="both"/>
        <w:rPr>
          <w:rFonts w:ascii="Calibri" w:hAnsi="Calibri"/>
          <w:color w:val="002060"/>
          <w:sz w:val="20"/>
          <w:szCs w:val="20"/>
        </w:rPr>
      </w:pPr>
      <w:r>
        <w:rPr>
          <w:rFonts w:ascii="Calibri" w:hAnsi="Calibri"/>
          <w:color w:val="002060"/>
          <w:sz w:val="20"/>
          <w:szCs w:val="20"/>
        </w:rPr>
        <w:t xml:space="preserve">2. et la méthode « count back » </w:t>
      </w:r>
      <w:r w:rsidR="000A357C" w:rsidRPr="008335CB">
        <w:rPr>
          <w:rFonts w:ascii="Calibri" w:hAnsi="Calibri"/>
          <w:color w:val="002060"/>
          <w:sz w:val="20"/>
          <w:szCs w:val="20"/>
        </w:rPr>
        <w:t>ou « roll back » ou par épuisement du chiffre d'affai</w:t>
      </w:r>
      <w:r>
        <w:rPr>
          <w:rFonts w:ascii="Calibri" w:hAnsi="Calibri"/>
          <w:color w:val="002060"/>
          <w:sz w:val="20"/>
          <w:szCs w:val="20"/>
        </w:rPr>
        <w:t>res ou d'apurement de l'encours</w:t>
      </w:r>
      <w:r w:rsidR="000A357C" w:rsidRPr="008335CB">
        <w:rPr>
          <w:rFonts w:ascii="Calibri" w:hAnsi="Calibri"/>
          <w:color w:val="002060"/>
          <w:sz w:val="20"/>
          <w:szCs w:val="20"/>
        </w:rPr>
        <w:t xml:space="preserve">. </w:t>
      </w:r>
    </w:p>
    <w:p w:rsidR="00751170" w:rsidRPr="008469E4" w:rsidRDefault="00751170" w:rsidP="00751170">
      <w:pPr>
        <w:spacing w:before="120" w:after="120"/>
        <w:jc w:val="both"/>
        <w:rPr>
          <w:rFonts w:ascii="Calibri" w:hAnsi="Calibri"/>
          <w:b/>
          <w:color w:val="002060"/>
          <w:sz w:val="21"/>
          <w:szCs w:val="21"/>
        </w:rPr>
      </w:pPr>
      <w:r w:rsidRPr="008469E4">
        <w:rPr>
          <w:rStyle w:val="fluocyan1"/>
          <w:rFonts w:ascii="Calibri" w:hAnsi="Calibri"/>
          <w:b/>
          <w:color w:val="002060"/>
          <w:sz w:val="21"/>
          <w:szCs w:val="21"/>
          <w:shd w:val="clear" w:color="auto" w:fill="FFFFFF"/>
        </w:rPr>
        <w:t xml:space="preserve">1. </w:t>
      </w:r>
      <w:r w:rsidR="000A357C" w:rsidRPr="008469E4">
        <w:rPr>
          <w:rStyle w:val="fluocyan1"/>
          <w:rFonts w:ascii="Calibri" w:hAnsi="Calibri"/>
          <w:b/>
          <w:color w:val="002060"/>
          <w:sz w:val="21"/>
          <w:szCs w:val="21"/>
          <w:shd w:val="clear" w:color="auto" w:fill="FFFFFF"/>
        </w:rPr>
        <w:t>La méthode compta</w:t>
      </w:r>
      <w:r w:rsidRPr="008469E4">
        <w:rPr>
          <w:rStyle w:val="fluocyan1"/>
          <w:rFonts w:ascii="Calibri" w:hAnsi="Calibri"/>
          <w:b/>
          <w:color w:val="002060"/>
          <w:sz w:val="21"/>
          <w:szCs w:val="21"/>
          <w:shd w:val="clear" w:color="auto" w:fill="FFFFFF"/>
        </w:rPr>
        <w:t xml:space="preserve">ble </w:t>
      </w:r>
      <w:r w:rsidR="000A357C" w:rsidRPr="008469E4">
        <w:rPr>
          <w:rFonts w:ascii="Calibri" w:hAnsi="Calibri"/>
          <w:b/>
          <w:color w:val="002060"/>
          <w:sz w:val="21"/>
          <w:szCs w:val="21"/>
        </w:rPr>
        <w:t xml:space="preserve">: </w:t>
      </w:r>
    </w:p>
    <w:p w:rsidR="008335CB" w:rsidRPr="00275C8C" w:rsidRDefault="00751170" w:rsidP="00C80980">
      <w:pPr>
        <w:spacing w:after="60"/>
        <w:jc w:val="both"/>
        <w:rPr>
          <w:rFonts w:ascii="Calibri" w:hAnsi="Calibri"/>
          <w:color w:val="002060"/>
          <w:sz w:val="20"/>
          <w:szCs w:val="21"/>
          <w:u w:val="single"/>
        </w:rPr>
      </w:pPr>
      <w:r w:rsidRPr="00275C8C">
        <w:rPr>
          <w:rFonts w:ascii="Calibri" w:hAnsi="Calibri"/>
          <w:color w:val="002060"/>
          <w:sz w:val="18"/>
          <w:szCs w:val="20"/>
        </w:rPr>
        <w:t xml:space="preserve">• </w:t>
      </w:r>
      <w:r w:rsidR="000A357C" w:rsidRPr="00275C8C">
        <w:rPr>
          <w:rFonts w:ascii="Calibri" w:hAnsi="Calibri"/>
          <w:b/>
          <w:bCs/>
          <w:color w:val="002060"/>
          <w:sz w:val="20"/>
          <w:szCs w:val="21"/>
        </w:rPr>
        <w:t>Variante</w:t>
      </w:r>
      <w:r w:rsidR="005A042C" w:rsidRPr="00275C8C">
        <w:rPr>
          <w:rFonts w:ascii="Calibri" w:hAnsi="Calibri"/>
          <w:b/>
          <w:bCs/>
          <w:color w:val="002060"/>
          <w:sz w:val="20"/>
          <w:szCs w:val="21"/>
        </w:rPr>
        <w:t xml:space="preserve"> 1</w:t>
      </w:r>
      <w:r w:rsidR="000A357C" w:rsidRPr="00275C8C">
        <w:rPr>
          <w:rFonts w:ascii="Calibri" w:hAnsi="Calibri"/>
          <w:b/>
          <w:bCs/>
          <w:color w:val="002060"/>
          <w:sz w:val="20"/>
          <w:szCs w:val="21"/>
        </w:rPr>
        <w:t xml:space="preserve"> : Encours total</w:t>
      </w:r>
      <w:r w:rsidR="000A357C" w:rsidRPr="00275C8C">
        <w:rPr>
          <w:rFonts w:ascii="Calibri" w:hAnsi="Calibri"/>
          <w:color w:val="002060"/>
          <w:sz w:val="20"/>
          <w:szCs w:val="21"/>
          <w:u w:val="single"/>
        </w:rPr>
        <w:t xml:space="preserve"> </w:t>
      </w:r>
    </w:p>
    <w:p w:rsidR="00C80980" w:rsidRPr="00C80980" w:rsidRDefault="00C80980" w:rsidP="00C80980">
      <w:pPr>
        <w:spacing w:before="60"/>
        <w:ind w:left="170"/>
        <w:jc w:val="both"/>
        <w:rPr>
          <w:rFonts w:ascii="Calibri" w:hAnsi="Calibri"/>
          <w:color w:val="002060"/>
          <w:sz w:val="20"/>
          <w:szCs w:val="20"/>
        </w:rPr>
      </w:pPr>
      <w:r w:rsidRPr="00C069D1">
        <w:rPr>
          <w:rFonts w:ascii="Calibri" w:hAnsi="Calibri"/>
          <w:color w:val="002060"/>
          <w:sz w:val="20"/>
          <w:szCs w:val="20"/>
        </w:rPr>
        <w:t>C'est le rapport entre l'encours financier (inclus les effets escomptés non échus et les créances cédées) et le chiffre d'affaires TTC</w:t>
      </w:r>
    </w:p>
    <w:p w:rsidR="008335CB" w:rsidRDefault="000A357C" w:rsidP="00C069D1">
      <w:pPr>
        <w:spacing w:before="120" w:after="60"/>
        <w:ind w:left="170"/>
        <w:jc w:val="both"/>
        <w:rPr>
          <w:rFonts w:ascii="Calibri" w:hAnsi="Calibri"/>
          <w:color w:val="002060"/>
          <w:sz w:val="20"/>
          <w:szCs w:val="20"/>
        </w:rPr>
      </w:pPr>
      <w:r w:rsidRPr="008335CB">
        <w:rPr>
          <w:rFonts w:ascii="Calibri" w:hAnsi="Calibri"/>
          <w:color w:val="002060"/>
          <w:sz w:val="20"/>
          <w:szCs w:val="20"/>
        </w:rPr>
        <w:t>Par conséquent trois éléments d'information sont requis pour le calcul :</w:t>
      </w:r>
    </w:p>
    <w:p w:rsidR="008335CB" w:rsidRDefault="000A357C" w:rsidP="00C069D1">
      <w:pPr>
        <w:spacing w:after="60"/>
        <w:ind w:left="170"/>
        <w:jc w:val="both"/>
        <w:rPr>
          <w:rFonts w:ascii="Calibri" w:hAnsi="Calibri"/>
          <w:color w:val="002060"/>
          <w:sz w:val="20"/>
          <w:szCs w:val="20"/>
        </w:rPr>
      </w:pPr>
      <w:r w:rsidRPr="008335CB">
        <w:rPr>
          <w:rFonts w:ascii="Calibri" w:hAnsi="Calibri"/>
          <w:color w:val="002060"/>
          <w:sz w:val="20"/>
          <w:szCs w:val="20"/>
        </w:rPr>
        <w:t xml:space="preserve">- Le total des comptes clients ou encours total de fin de mois TTC </w:t>
      </w:r>
    </w:p>
    <w:p w:rsidR="008335CB" w:rsidRDefault="000A357C" w:rsidP="00C069D1">
      <w:pPr>
        <w:spacing w:after="60"/>
        <w:ind w:left="170"/>
        <w:jc w:val="both"/>
        <w:rPr>
          <w:rFonts w:ascii="Calibri" w:hAnsi="Calibri"/>
          <w:color w:val="002060"/>
          <w:sz w:val="20"/>
          <w:szCs w:val="20"/>
        </w:rPr>
      </w:pPr>
      <w:r w:rsidRPr="008335CB">
        <w:rPr>
          <w:rFonts w:ascii="Calibri" w:hAnsi="Calibri"/>
          <w:color w:val="002060"/>
          <w:sz w:val="20"/>
          <w:szCs w:val="20"/>
        </w:rPr>
        <w:t xml:space="preserve">- Le total des ventes à crédit TTC pour la période analysée (ventes au </w:t>
      </w:r>
      <w:smartTag w:uri="urn:schemas-microsoft-com:office:smarttags" w:element="PersonName">
        <w:r w:rsidRPr="008335CB">
          <w:rPr>
            <w:rFonts w:ascii="Calibri" w:hAnsi="Calibri"/>
            <w:color w:val="002060"/>
            <w:sz w:val="20"/>
            <w:szCs w:val="20"/>
          </w:rPr>
          <w:t>compta</w:t>
        </w:r>
      </w:smartTag>
      <w:r w:rsidRPr="008335CB">
        <w:rPr>
          <w:rFonts w:ascii="Calibri" w:hAnsi="Calibri"/>
          <w:color w:val="002060"/>
          <w:sz w:val="20"/>
          <w:szCs w:val="20"/>
        </w:rPr>
        <w:t xml:space="preserve">nt exclues) </w:t>
      </w:r>
    </w:p>
    <w:p w:rsidR="008335CB" w:rsidRDefault="000A357C" w:rsidP="00C069D1">
      <w:pPr>
        <w:spacing w:after="60"/>
        <w:ind w:left="170"/>
        <w:jc w:val="both"/>
        <w:rPr>
          <w:rFonts w:ascii="Calibri" w:hAnsi="Calibri"/>
          <w:color w:val="002060"/>
          <w:sz w:val="20"/>
          <w:szCs w:val="20"/>
        </w:rPr>
      </w:pPr>
      <w:r w:rsidRPr="008335CB">
        <w:rPr>
          <w:rFonts w:ascii="Calibri" w:hAnsi="Calibri"/>
          <w:color w:val="002060"/>
          <w:sz w:val="20"/>
          <w:szCs w:val="20"/>
        </w:rPr>
        <w:t xml:space="preserve">- Le nombre de jours de la période analysée </w:t>
      </w:r>
    </w:p>
    <w:p w:rsidR="008335CB" w:rsidRDefault="000A357C" w:rsidP="00C069D1">
      <w:pPr>
        <w:spacing w:after="60"/>
        <w:ind w:left="170"/>
        <w:jc w:val="both"/>
        <w:rPr>
          <w:rFonts w:ascii="Calibri" w:hAnsi="Calibri"/>
          <w:color w:val="002060"/>
          <w:sz w:val="20"/>
          <w:szCs w:val="20"/>
        </w:rPr>
      </w:pPr>
      <w:r w:rsidRPr="008335CB">
        <w:rPr>
          <w:rFonts w:ascii="Calibri" w:hAnsi="Calibri"/>
          <w:color w:val="002060"/>
          <w:sz w:val="20"/>
          <w:szCs w:val="20"/>
        </w:rPr>
        <w:t xml:space="preserve">Pour indication : </w:t>
      </w:r>
      <w:r w:rsidR="00AD58E8">
        <w:rPr>
          <w:rFonts w:ascii="Calibri" w:hAnsi="Calibri"/>
          <w:color w:val="002060"/>
          <w:sz w:val="20"/>
          <w:szCs w:val="20"/>
        </w:rPr>
        <w:t>12</w:t>
      </w:r>
      <w:r w:rsidRPr="008335CB">
        <w:rPr>
          <w:rFonts w:ascii="Calibri" w:hAnsi="Calibri"/>
          <w:color w:val="002060"/>
          <w:sz w:val="20"/>
          <w:szCs w:val="20"/>
        </w:rPr>
        <w:t xml:space="preserve"> mois = 365 jours, </w:t>
      </w:r>
      <w:r w:rsidR="00AD58E8">
        <w:rPr>
          <w:rFonts w:ascii="Calibri" w:hAnsi="Calibri"/>
          <w:color w:val="002060"/>
          <w:sz w:val="20"/>
          <w:szCs w:val="20"/>
        </w:rPr>
        <w:t>6</w:t>
      </w:r>
      <w:r w:rsidRPr="008335CB">
        <w:rPr>
          <w:rFonts w:ascii="Calibri" w:hAnsi="Calibri"/>
          <w:color w:val="002060"/>
          <w:sz w:val="20"/>
          <w:szCs w:val="20"/>
        </w:rPr>
        <w:t xml:space="preserve"> mois = 182 jours et un trimestre = 91 jours </w:t>
      </w:r>
    </w:p>
    <w:p w:rsidR="00C069D1" w:rsidRDefault="00C069D1" w:rsidP="00C80980">
      <w:pPr>
        <w:spacing w:after="60"/>
        <w:ind w:left="170"/>
        <w:jc w:val="both"/>
        <w:rPr>
          <w:rFonts w:ascii="Calibri" w:hAnsi="Calibri"/>
          <w:color w:val="002060"/>
          <w:sz w:val="20"/>
          <w:szCs w:val="20"/>
        </w:rPr>
      </w:pPr>
      <w:r>
        <w:rPr>
          <w:rFonts w:ascii="Calibri" w:hAnsi="Calibri"/>
          <w:color w:val="002060"/>
          <w:sz w:val="20"/>
          <w:szCs w:val="20"/>
        </w:rPr>
        <w:t>Formule :</w:t>
      </w:r>
    </w:p>
    <w:tbl>
      <w:tblPr>
        <w:tblStyle w:val="Grilledutableau"/>
        <w:tblW w:w="0" w:type="auto"/>
        <w:tblInd w:w="392" w:type="dxa"/>
        <w:tblLook w:val="04A0" w:firstRow="1" w:lastRow="0" w:firstColumn="1" w:lastColumn="0" w:noHBand="0" w:noVBand="1"/>
      </w:tblPr>
      <w:tblGrid>
        <w:gridCol w:w="4979"/>
      </w:tblGrid>
      <w:tr w:rsidR="00C069D1" w:rsidTr="00C069D1">
        <w:tc>
          <w:tcPr>
            <w:tcW w:w="4979" w:type="dxa"/>
          </w:tcPr>
          <w:p w:rsidR="00C069D1" w:rsidRPr="004E433D" w:rsidRDefault="00C069D1" w:rsidP="00C069D1">
            <w:pPr>
              <w:spacing w:before="60"/>
              <w:jc w:val="center"/>
              <w:rPr>
                <w:rFonts w:ascii="Calibri" w:hAnsi="Calibri"/>
                <w:color w:val="002060"/>
                <w:sz w:val="20"/>
                <w:szCs w:val="20"/>
              </w:rPr>
            </w:pPr>
            <w:r w:rsidRPr="004E433D">
              <w:rPr>
                <w:rStyle w:val="u1"/>
                <w:rFonts w:ascii="Calibri" w:hAnsi="Calibri"/>
                <w:color w:val="002060"/>
                <w:sz w:val="20"/>
                <w:szCs w:val="20"/>
              </w:rPr>
              <w:t xml:space="preserve">Encours total fin de mois TTC x </w:t>
            </w:r>
            <w:proofErr w:type="spellStart"/>
            <w:r w:rsidRPr="004E433D">
              <w:rPr>
                <w:rStyle w:val="u1"/>
                <w:rFonts w:ascii="Calibri" w:hAnsi="Calibri"/>
                <w:color w:val="002060"/>
                <w:sz w:val="20"/>
                <w:szCs w:val="20"/>
              </w:rPr>
              <w:t>Nbre</w:t>
            </w:r>
            <w:proofErr w:type="spellEnd"/>
            <w:r w:rsidRPr="004E433D">
              <w:rPr>
                <w:rStyle w:val="u1"/>
                <w:rFonts w:ascii="Calibri" w:hAnsi="Calibri"/>
                <w:color w:val="002060"/>
                <w:sz w:val="20"/>
                <w:szCs w:val="20"/>
              </w:rPr>
              <w:t xml:space="preserve"> de jours</w:t>
            </w:r>
          </w:p>
          <w:p w:rsidR="00C069D1" w:rsidRDefault="00C069D1" w:rsidP="00C069D1">
            <w:pPr>
              <w:spacing w:after="60"/>
              <w:jc w:val="center"/>
              <w:rPr>
                <w:rFonts w:ascii="Calibri" w:hAnsi="Calibri"/>
                <w:color w:val="002060"/>
                <w:sz w:val="20"/>
                <w:szCs w:val="20"/>
              </w:rPr>
            </w:pPr>
            <w:r>
              <w:rPr>
                <w:rFonts w:ascii="Calibri" w:hAnsi="Calibri"/>
                <w:color w:val="002060"/>
                <w:sz w:val="20"/>
                <w:szCs w:val="20"/>
              </w:rPr>
              <w:t xml:space="preserve">               </w:t>
            </w:r>
            <w:r w:rsidRPr="004E433D">
              <w:rPr>
                <w:rFonts w:ascii="Calibri" w:hAnsi="Calibri"/>
                <w:color w:val="002060"/>
                <w:sz w:val="20"/>
                <w:szCs w:val="20"/>
              </w:rPr>
              <w:t>Chiffre d'affaires total TTC de la période</w:t>
            </w:r>
          </w:p>
        </w:tc>
      </w:tr>
    </w:tbl>
    <w:p w:rsidR="008335CB" w:rsidRDefault="000A357C" w:rsidP="00C069D1">
      <w:pPr>
        <w:spacing w:before="60" w:after="60"/>
        <w:ind w:left="170"/>
        <w:jc w:val="both"/>
        <w:rPr>
          <w:rFonts w:ascii="Calibri" w:hAnsi="Calibri"/>
          <w:color w:val="002060"/>
          <w:sz w:val="20"/>
          <w:szCs w:val="20"/>
        </w:rPr>
      </w:pPr>
      <w:r w:rsidRPr="008335CB">
        <w:rPr>
          <w:rFonts w:ascii="Calibri" w:hAnsi="Calibri"/>
          <w:color w:val="002060"/>
          <w:sz w:val="20"/>
          <w:szCs w:val="20"/>
        </w:rPr>
        <w:t xml:space="preserve">Exemple 1 : Sté A - décembre 2002 : </w:t>
      </w:r>
    </w:p>
    <w:p w:rsidR="008335CB" w:rsidRDefault="000A357C" w:rsidP="00C80980">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 xml:space="preserve">Encours total fin de mois TTC (décembre 2002) = 5.700 </w:t>
      </w:r>
    </w:p>
    <w:p w:rsidR="008335CB" w:rsidRDefault="000A357C" w:rsidP="00C069D1">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 xml:space="preserve">CA total TTC de la période (octobre à décembre 2002) = 7.600 </w:t>
      </w:r>
    </w:p>
    <w:p w:rsidR="008335CB" w:rsidRDefault="008335CB" w:rsidP="00C069D1">
      <w:pPr>
        <w:spacing w:after="60"/>
        <w:ind w:left="340" w:hanging="170"/>
        <w:jc w:val="both"/>
        <w:rPr>
          <w:rFonts w:ascii="Calibri" w:hAnsi="Calibri"/>
          <w:color w:val="002060"/>
          <w:sz w:val="20"/>
          <w:szCs w:val="20"/>
        </w:rPr>
      </w:pPr>
      <w:r>
        <w:rPr>
          <w:rFonts w:ascii="Calibri" w:hAnsi="Calibri"/>
          <w:color w:val="002060"/>
          <w:sz w:val="20"/>
          <w:szCs w:val="20"/>
        </w:rPr>
        <w:t>-</w:t>
      </w:r>
      <w:r>
        <w:rPr>
          <w:rFonts w:ascii="Calibri" w:hAnsi="Calibri"/>
          <w:color w:val="002060"/>
          <w:sz w:val="20"/>
          <w:szCs w:val="20"/>
        </w:rPr>
        <w:tab/>
      </w:r>
      <w:r w:rsidR="000A357C" w:rsidRPr="008335CB">
        <w:rPr>
          <w:rFonts w:ascii="Calibri" w:hAnsi="Calibri"/>
          <w:color w:val="002060"/>
          <w:sz w:val="20"/>
          <w:szCs w:val="20"/>
        </w:rPr>
        <w:t>Nombre de jours de la période = 91</w:t>
      </w:r>
    </w:p>
    <w:p w:rsidR="008335CB" w:rsidRDefault="008335CB" w:rsidP="00C069D1">
      <w:pPr>
        <w:spacing w:after="60"/>
        <w:ind w:left="340" w:hanging="170"/>
        <w:jc w:val="both"/>
        <w:rPr>
          <w:rFonts w:ascii="Calibri" w:hAnsi="Calibri"/>
          <w:color w:val="002060"/>
          <w:sz w:val="20"/>
          <w:szCs w:val="20"/>
        </w:rPr>
      </w:pPr>
      <w:r>
        <w:rPr>
          <w:rFonts w:ascii="Calibri" w:hAnsi="Calibri"/>
          <w:color w:val="002060"/>
          <w:sz w:val="20"/>
          <w:szCs w:val="20"/>
        </w:rPr>
        <w:t>-</w:t>
      </w:r>
      <w:r>
        <w:rPr>
          <w:rFonts w:ascii="Calibri" w:hAnsi="Calibri"/>
          <w:color w:val="002060"/>
          <w:sz w:val="20"/>
          <w:szCs w:val="20"/>
        </w:rPr>
        <w:tab/>
      </w:r>
      <w:r w:rsidR="000A357C" w:rsidRPr="008335CB">
        <w:rPr>
          <w:rFonts w:ascii="Calibri" w:hAnsi="Calibri"/>
          <w:color w:val="002060"/>
          <w:sz w:val="20"/>
          <w:szCs w:val="20"/>
        </w:rPr>
        <w:t xml:space="preserve">5.700 x 91 / 7.600 = 68 jours (Période de recouvrement des comptes clients) </w:t>
      </w:r>
    </w:p>
    <w:p w:rsidR="00D5215D" w:rsidRPr="008335CB" w:rsidRDefault="000A357C" w:rsidP="00275C8C">
      <w:pPr>
        <w:spacing w:after="120"/>
        <w:ind w:left="170"/>
        <w:jc w:val="both"/>
        <w:rPr>
          <w:rFonts w:ascii="Calibri" w:hAnsi="Calibri"/>
          <w:color w:val="002060"/>
          <w:sz w:val="20"/>
          <w:szCs w:val="20"/>
        </w:rPr>
      </w:pPr>
      <w:r w:rsidRPr="008335CB">
        <w:rPr>
          <w:rFonts w:ascii="Calibri" w:hAnsi="Calibri"/>
          <w:color w:val="002060"/>
          <w:sz w:val="20"/>
          <w:szCs w:val="20"/>
        </w:rPr>
        <w:t xml:space="preserve">Dans cet exemple le nombre de jours nécessaires au recouvrement des comptes clients est de 68 jours (en moyenne). </w:t>
      </w:r>
    </w:p>
    <w:p w:rsidR="008335CB" w:rsidRDefault="000A357C" w:rsidP="00C069D1">
      <w:pPr>
        <w:spacing w:after="60"/>
        <w:ind w:left="170"/>
        <w:jc w:val="both"/>
        <w:rPr>
          <w:rFonts w:ascii="Calibri" w:hAnsi="Calibri"/>
          <w:color w:val="002060"/>
          <w:sz w:val="20"/>
          <w:szCs w:val="20"/>
        </w:rPr>
      </w:pPr>
      <w:r w:rsidRPr="008335CB">
        <w:rPr>
          <w:rFonts w:ascii="Calibri" w:hAnsi="Calibri"/>
          <w:color w:val="002060"/>
          <w:sz w:val="20"/>
          <w:szCs w:val="20"/>
        </w:rPr>
        <w:t xml:space="preserve">Exemple 2 : Sté A - mars 2003 : </w:t>
      </w:r>
    </w:p>
    <w:p w:rsidR="008335CB" w:rsidRDefault="000A357C" w:rsidP="00C069D1">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 xml:space="preserve">Encours total fin de mois TTC (décembre 2003) = 1.800 </w:t>
      </w:r>
    </w:p>
    <w:p w:rsidR="008335CB" w:rsidRDefault="000A357C" w:rsidP="00C069D1">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 xml:space="preserve">CA total TTC de la période (octobre à décembre 2003) = 1.000 </w:t>
      </w:r>
    </w:p>
    <w:p w:rsidR="008335CB" w:rsidRDefault="008335CB" w:rsidP="00C069D1">
      <w:pPr>
        <w:spacing w:after="60"/>
        <w:ind w:left="340" w:hanging="170"/>
        <w:jc w:val="both"/>
        <w:rPr>
          <w:rFonts w:ascii="Calibri" w:hAnsi="Calibri"/>
          <w:color w:val="002060"/>
          <w:sz w:val="20"/>
          <w:szCs w:val="20"/>
        </w:rPr>
      </w:pPr>
      <w:r>
        <w:rPr>
          <w:rFonts w:ascii="Calibri" w:hAnsi="Calibri"/>
          <w:color w:val="002060"/>
          <w:sz w:val="20"/>
          <w:szCs w:val="20"/>
        </w:rPr>
        <w:t>-</w:t>
      </w:r>
      <w:r>
        <w:rPr>
          <w:rFonts w:ascii="Calibri" w:hAnsi="Calibri"/>
          <w:color w:val="002060"/>
          <w:sz w:val="20"/>
          <w:szCs w:val="20"/>
        </w:rPr>
        <w:tab/>
      </w:r>
      <w:r w:rsidR="000A357C" w:rsidRPr="008335CB">
        <w:rPr>
          <w:rFonts w:ascii="Calibri" w:hAnsi="Calibri"/>
          <w:color w:val="002060"/>
          <w:sz w:val="20"/>
          <w:szCs w:val="20"/>
        </w:rPr>
        <w:t>Nombre de jours de la période = 91</w:t>
      </w:r>
    </w:p>
    <w:p w:rsidR="007976E3" w:rsidRDefault="008335CB" w:rsidP="00C069D1">
      <w:pPr>
        <w:spacing w:after="120"/>
        <w:ind w:left="340" w:hanging="170"/>
        <w:jc w:val="both"/>
        <w:rPr>
          <w:rFonts w:ascii="Calibri" w:hAnsi="Calibri"/>
          <w:color w:val="002060"/>
          <w:sz w:val="20"/>
          <w:szCs w:val="20"/>
        </w:rPr>
      </w:pPr>
      <w:r>
        <w:rPr>
          <w:rFonts w:ascii="Calibri" w:hAnsi="Calibri"/>
          <w:color w:val="002060"/>
          <w:sz w:val="20"/>
          <w:szCs w:val="20"/>
        </w:rPr>
        <w:t>-</w:t>
      </w:r>
      <w:r>
        <w:rPr>
          <w:rFonts w:ascii="Calibri" w:hAnsi="Calibri"/>
          <w:color w:val="002060"/>
          <w:sz w:val="20"/>
          <w:szCs w:val="20"/>
        </w:rPr>
        <w:tab/>
      </w:r>
      <w:r w:rsidR="000A357C" w:rsidRPr="008335CB">
        <w:rPr>
          <w:rFonts w:ascii="Calibri" w:hAnsi="Calibri"/>
          <w:color w:val="002060"/>
          <w:sz w:val="20"/>
          <w:szCs w:val="20"/>
        </w:rPr>
        <w:t xml:space="preserve">1.800 x 91 / 1.000 = 164 jours </w:t>
      </w:r>
    </w:p>
    <w:p w:rsidR="00275C8C" w:rsidRDefault="00275C8C" w:rsidP="00C069D1">
      <w:pPr>
        <w:spacing w:after="120"/>
        <w:ind w:left="340" w:hanging="170"/>
        <w:jc w:val="both"/>
        <w:rPr>
          <w:rFonts w:ascii="Calibri" w:hAnsi="Calibri"/>
          <w:color w:val="002060"/>
          <w:sz w:val="20"/>
          <w:szCs w:val="20"/>
        </w:rPr>
      </w:pPr>
    </w:p>
    <w:p w:rsidR="00275C8C" w:rsidRDefault="00275C8C" w:rsidP="00C069D1">
      <w:pPr>
        <w:spacing w:after="120"/>
        <w:ind w:left="340" w:hanging="170"/>
        <w:jc w:val="both"/>
        <w:rPr>
          <w:rFonts w:ascii="Calibri" w:hAnsi="Calibri"/>
          <w:color w:val="002060"/>
          <w:sz w:val="20"/>
          <w:szCs w:val="20"/>
        </w:rPr>
      </w:pPr>
    </w:p>
    <w:p w:rsidR="008335CB" w:rsidRPr="00275C8C" w:rsidRDefault="00C069D1" w:rsidP="00C80980">
      <w:pPr>
        <w:spacing w:after="60"/>
        <w:jc w:val="both"/>
        <w:rPr>
          <w:rFonts w:ascii="Calibri" w:hAnsi="Calibri"/>
          <w:color w:val="002060"/>
          <w:sz w:val="20"/>
          <w:szCs w:val="20"/>
          <w:u w:val="single"/>
        </w:rPr>
      </w:pPr>
      <w:r w:rsidRPr="00275C8C">
        <w:rPr>
          <w:rFonts w:ascii="Calibri" w:hAnsi="Calibri"/>
          <w:color w:val="002060"/>
          <w:sz w:val="20"/>
          <w:szCs w:val="20"/>
        </w:rPr>
        <w:lastRenderedPageBreak/>
        <w:t xml:space="preserve">• </w:t>
      </w:r>
      <w:r w:rsidR="000A357C" w:rsidRPr="00275C8C">
        <w:rPr>
          <w:rFonts w:ascii="Calibri" w:hAnsi="Calibri"/>
          <w:b/>
          <w:bCs/>
          <w:color w:val="002060"/>
          <w:sz w:val="20"/>
          <w:szCs w:val="20"/>
        </w:rPr>
        <w:t>Variante</w:t>
      </w:r>
      <w:r w:rsidR="005A042C" w:rsidRPr="00275C8C">
        <w:rPr>
          <w:rFonts w:ascii="Calibri" w:hAnsi="Calibri"/>
          <w:b/>
          <w:bCs/>
          <w:color w:val="002060"/>
          <w:sz w:val="20"/>
          <w:szCs w:val="20"/>
        </w:rPr>
        <w:t xml:space="preserve"> 2</w:t>
      </w:r>
      <w:r w:rsidR="000A357C" w:rsidRPr="00275C8C">
        <w:rPr>
          <w:rFonts w:ascii="Calibri" w:hAnsi="Calibri"/>
          <w:b/>
          <w:bCs/>
          <w:color w:val="002060"/>
          <w:sz w:val="20"/>
          <w:szCs w:val="20"/>
        </w:rPr>
        <w:t xml:space="preserve"> : Encours moyen</w:t>
      </w:r>
      <w:r w:rsidR="000A357C" w:rsidRPr="00275C8C">
        <w:rPr>
          <w:rFonts w:ascii="Calibri" w:hAnsi="Calibri"/>
          <w:color w:val="002060"/>
          <w:sz w:val="20"/>
          <w:szCs w:val="20"/>
          <w:u w:val="single"/>
        </w:rPr>
        <w:t xml:space="preserve"> </w:t>
      </w:r>
    </w:p>
    <w:p w:rsidR="00C069D1" w:rsidRPr="00C069D1" w:rsidRDefault="00C069D1" w:rsidP="00C80980">
      <w:pPr>
        <w:spacing w:after="60"/>
        <w:ind w:left="170"/>
        <w:jc w:val="both"/>
        <w:rPr>
          <w:rFonts w:ascii="Calibri" w:hAnsi="Calibri"/>
          <w:color w:val="002060"/>
          <w:sz w:val="20"/>
          <w:szCs w:val="21"/>
        </w:rPr>
      </w:pPr>
      <w:r w:rsidRPr="00C069D1">
        <w:rPr>
          <w:rFonts w:ascii="Calibri" w:hAnsi="Calibri"/>
          <w:color w:val="002060"/>
          <w:sz w:val="20"/>
          <w:szCs w:val="21"/>
        </w:rPr>
        <w:t>Formule</w:t>
      </w:r>
      <w:r>
        <w:rPr>
          <w:rFonts w:ascii="Calibri" w:hAnsi="Calibri"/>
          <w:color w:val="002060"/>
          <w:sz w:val="20"/>
          <w:szCs w:val="21"/>
        </w:rPr>
        <w:t> :</w:t>
      </w:r>
    </w:p>
    <w:tbl>
      <w:tblPr>
        <w:tblStyle w:val="Grilledutableau"/>
        <w:tblW w:w="0" w:type="auto"/>
        <w:tblInd w:w="250" w:type="dxa"/>
        <w:tblLook w:val="04A0" w:firstRow="1" w:lastRow="0" w:firstColumn="1" w:lastColumn="0" w:noHBand="0" w:noVBand="1"/>
      </w:tblPr>
      <w:tblGrid>
        <w:gridCol w:w="7938"/>
      </w:tblGrid>
      <w:tr w:rsidR="00C069D1" w:rsidTr="00C80980">
        <w:tc>
          <w:tcPr>
            <w:tcW w:w="7938" w:type="dxa"/>
          </w:tcPr>
          <w:p w:rsidR="00C069D1" w:rsidRPr="004E433D" w:rsidRDefault="00C069D1" w:rsidP="00C069D1">
            <w:pPr>
              <w:spacing w:before="60"/>
              <w:jc w:val="center"/>
              <w:rPr>
                <w:rFonts w:ascii="Calibri" w:hAnsi="Calibri"/>
                <w:color w:val="002060"/>
                <w:sz w:val="20"/>
                <w:szCs w:val="20"/>
              </w:rPr>
            </w:pPr>
            <w:r w:rsidRPr="004E433D">
              <w:rPr>
                <w:rStyle w:val="u1"/>
                <w:rFonts w:ascii="Calibri" w:hAnsi="Calibri"/>
                <w:color w:val="002060"/>
                <w:sz w:val="20"/>
                <w:szCs w:val="20"/>
              </w:rPr>
              <w:t>Moyenne des encours totaux de fin de mois TTC x Nombre de jours de la période analysée</w:t>
            </w:r>
          </w:p>
          <w:p w:rsidR="00C069D1" w:rsidRDefault="00C069D1" w:rsidP="00C069D1">
            <w:pPr>
              <w:spacing w:after="60"/>
              <w:jc w:val="center"/>
              <w:rPr>
                <w:rFonts w:ascii="Calibri" w:hAnsi="Calibri"/>
                <w:color w:val="002060"/>
                <w:sz w:val="20"/>
                <w:szCs w:val="20"/>
              </w:rPr>
            </w:pPr>
            <w:r>
              <w:rPr>
                <w:rFonts w:ascii="Calibri" w:hAnsi="Calibri"/>
                <w:color w:val="002060"/>
                <w:sz w:val="20"/>
                <w:szCs w:val="20"/>
              </w:rPr>
              <w:t>Chiffre</w:t>
            </w:r>
            <w:r w:rsidRPr="004E433D">
              <w:rPr>
                <w:rFonts w:ascii="Calibri" w:hAnsi="Calibri"/>
                <w:color w:val="002060"/>
                <w:sz w:val="20"/>
                <w:szCs w:val="20"/>
              </w:rPr>
              <w:t xml:space="preserve"> d'affaires total TTC de la période analysée</w:t>
            </w:r>
          </w:p>
        </w:tc>
      </w:tr>
    </w:tbl>
    <w:p w:rsidR="008335CB" w:rsidRDefault="008335CB" w:rsidP="00C80980">
      <w:pPr>
        <w:spacing w:before="120" w:after="60"/>
        <w:ind w:left="170"/>
        <w:jc w:val="both"/>
        <w:rPr>
          <w:rFonts w:ascii="Calibri" w:hAnsi="Calibri"/>
          <w:color w:val="002060"/>
          <w:sz w:val="20"/>
          <w:szCs w:val="20"/>
        </w:rPr>
      </w:pPr>
      <w:r w:rsidRPr="008335CB">
        <w:rPr>
          <w:rFonts w:ascii="Calibri" w:hAnsi="Calibri"/>
          <w:color w:val="002060"/>
          <w:sz w:val="20"/>
          <w:szCs w:val="20"/>
        </w:rPr>
        <w:t>Exemple :</w:t>
      </w:r>
      <w:r w:rsidR="007976E3" w:rsidRPr="008335CB">
        <w:rPr>
          <w:rFonts w:ascii="Calibri" w:hAnsi="Calibri"/>
          <w:color w:val="002060"/>
          <w:sz w:val="20"/>
          <w:szCs w:val="20"/>
        </w:rPr>
        <w:t xml:space="preserve"> </w:t>
      </w:r>
      <w:r w:rsidR="00C069D1" w:rsidRPr="008335CB">
        <w:rPr>
          <w:rFonts w:ascii="Calibri" w:hAnsi="Calibri"/>
          <w:color w:val="002060"/>
          <w:sz w:val="20"/>
          <w:szCs w:val="20"/>
        </w:rPr>
        <w:t xml:space="preserve">Sté A - Période octobre à décembre 2003 : </w:t>
      </w:r>
    </w:p>
    <w:p w:rsidR="008335CB" w:rsidRDefault="000A357C" w:rsidP="00C80980">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 xml:space="preserve">Encours total fin octobre 2003 = 4.300 </w:t>
      </w:r>
    </w:p>
    <w:p w:rsidR="008335CB" w:rsidRDefault="000A357C" w:rsidP="00C80980">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Encours total fin novembre 2003 = 3.200</w:t>
      </w:r>
    </w:p>
    <w:p w:rsidR="008335CB" w:rsidRDefault="000A357C" w:rsidP="00C80980">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Encours total fin déc. 2003 = 1.800</w:t>
      </w:r>
    </w:p>
    <w:p w:rsidR="008335CB" w:rsidRDefault="000A357C" w:rsidP="00C80980">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 xml:space="preserve">Moyenne des encours totaux pour la période = 3.100 </w:t>
      </w:r>
    </w:p>
    <w:p w:rsidR="008335CB" w:rsidRDefault="000A357C" w:rsidP="00C80980">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CA total TTC de la période (octobre à décembre 2003) = 1.000</w:t>
      </w:r>
    </w:p>
    <w:p w:rsidR="008335CB" w:rsidRDefault="008335CB" w:rsidP="00C80980">
      <w:pPr>
        <w:spacing w:after="60"/>
        <w:ind w:left="340" w:hanging="170"/>
        <w:jc w:val="both"/>
        <w:rPr>
          <w:rFonts w:ascii="Calibri" w:hAnsi="Calibri"/>
          <w:color w:val="002060"/>
          <w:sz w:val="20"/>
          <w:szCs w:val="20"/>
        </w:rPr>
      </w:pPr>
      <w:r>
        <w:rPr>
          <w:rFonts w:ascii="Calibri" w:hAnsi="Calibri"/>
          <w:color w:val="002060"/>
          <w:sz w:val="20"/>
          <w:szCs w:val="20"/>
        </w:rPr>
        <w:t>-</w:t>
      </w:r>
      <w:r>
        <w:rPr>
          <w:rFonts w:ascii="Calibri" w:hAnsi="Calibri"/>
          <w:color w:val="002060"/>
          <w:sz w:val="20"/>
          <w:szCs w:val="20"/>
        </w:rPr>
        <w:tab/>
      </w:r>
      <w:r w:rsidR="000A357C" w:rsidRPr="008335CB">
        <w:rPr>
          <w:rFonts w:ascii="Calibri" w:hAnsi="Calibri"/>
          <w:color w:val="002060"/>
          <w:sz w:val="20"/>
          <w:szCs w:val="20"/>
        </w:rPr>
        <w:t>Nombre de jours de la période = 91</w:t>
      </w:r>
    </w:p>
    <w:p w:rsidR="008335CB" w:rsidRDefault="008335CB" w:rsidP="00C80980">
      <w:pPr>
        <w:spacing w:after="120"/>
        <w:ind w:left="340" w:hanging="170"/>
        <w:jc w:val="both"/>
        <w:rPr>
          <w:rFonts w:ascii="Calibri" w:hAnsi="Calibri"/>
          <w:color w:val="002060"/>
          <w:sz w:val="20"/>
          <w:szCs w:val="20"/>
        </w:rPr>
      </w:pPr>
      <w:r>
        <w:rPr>
          <w:rFonts w:ascii="Calibri" w:hAnsi="Calibri"/>
          <w:color w:val="002060"/>
          <w:sz w:val="20"/>
          <w:szCs w:val="20"/>
        </w:rPr>
        <w:t>-</w:t>
      </w:r>
      <w:r>
        <w:rPr>
          <w:rFonts w:ascii="Calibri" w:hAnsi="Calibri"/>
          <w:color w:val="002060"/>
          <w:sz w:val="20"/>
          <w:szCs w:val="20"/>
        </w:rPr>
        <w:tab/>
      </w:r>
      <w:r w:rsidR="000A357C" w:rsidRPr="008335CB">
        <w:rPr>
          <w:rFonts w:ascii="Calibri" w:hAnsi="Calibri"/>
          <w:color w:val="002060"/>
          <w:sz w:val="20"/>
          <w:szCs w:val="20"/>
        </w:rPr>
        <w:t>3.100 x 91 / 1.000 = 282 jours</w:t>
      </w:r>
    </w:p>
    <w:p w:rsidR="008335CB" w:rsidRPr="00275C8C" w:rsidRDefault="00C80980" w:rsidP="00C80980">
      <w:pPr>
        <w:spacing w:after="60"/>
        <w:jc w:val="both"/>
        <w:rPr>
          <w:rFonts w:ascii="Calibri" w:hAnsi="Calibri"/>
          <w:color w:val="002060"/>
          <w:sz w:val="20"/>
          <w:szCs w:val="20"/>
          <w:u w:val="single"/>
        </w:rPr>
      </w:pPr>
      <w:r w:rsidRPr="00275C8C">
        <w:rPr>
          <w:rFonts w:ascii="Calibri" w:hAnsi="Calibri"/>
          <w:color w:val="002060"/>
          <w:sz w:val="20"/>
          <w:szCs w:val="20"/>
        </w:rPr>
        <w:t xml:space="preserve">• </w:t>
      </w:r>
      <w:r w:rsidR="000A357C" w:rsidRPr="00275C8C">
        <w:rPr>
          <w:rFonts w:ascii="Calibri" w:hAnsi="Calibri"/>
          <w:b/>
          <w:bCs/>
          <w:color w:val="002060"/>
          <w:sz w:val="20"/>
          <w:szCs w:val="20"/>
        </w:rPr>
        <w:t>Variante</w:t>
      </w:r>
      <w:r w:rsidR="005A042C" w:rsidRPr="00275C8C">
        <w:rPr>
          <w:rFonts w:ascii="Calibri" w:hAnsi="Calibri"/>
          <w:b/>
          <w:bCs/>
          <w:color w:val="002060"/>
          <w:sz w:val="20"/>
          <w:szCs w:val="20"/>
        </w:rPr>
        <w:t xml:space="preserve"> 3</w:t>
      </w:r>
      <w:r w:rsidR="000A357C" w:rsidRPr="00275C8C">
        <w:rPr>
          <w:rFonts w:ascii="Calibri" w:hAnsi="Calibri"/>
          <w:b/>
          <w:bCs/>
          <w:color w:val="002060"/>
          <w:sz w:val="20"/>
          <w:szCs w:val="20"/>
        </w:rPr>
        <w:t xml:space="preserve"> : Chiffre d'affaires moyen</w:t>
      </w:r>
      <w:r w:rsidR="000A357C" w:rsidRPr="00275C8C">
        <w:rPr>
          <w:rFonts w:ascii="Calibri" w:hAnsi="Calibri"/>
          <w:color w:val="002060"/>
          <w:sz w:val="20"/>
          <w:szCs w:val="20"/>
          <w:u w:val="single"/>
        </w:rPr>
        <w:t xml:space="preserve"> </w:t>
      </w:r>
    </w:p>
    <w:p w:rsidR="00C80980" w:rsidRPr="00C069D1" w:rsidRDefault="00C80980" w:rsidP="00C80980">
      <w:pPr>
        <w:spacing w:after="60"/>
        <w:ind w:left="170"/>
        <w:jc w:val="both"/>
        <w:rPr>
          <w:rFonts w:ascii="Calibri" w:hAnsi="Calibri"/>
          <w:color w:val="002060"/>
          <w:sz w:val="20"/>
          <w:szCs w:val="21"/>
        </w:rPr>
      </w:pPr>
      <w:r w:rsidRPr="00C069D1">
        <w:rPr>
          <w:rFonts w:ascii="Calibri" w:hAnsi="Calibri"/>
          <w:color w:val="002060"/>
          <w:sz w:val="20"/>
          <w:szCs w:val="21"/>
        </w:rPr>
        <w:t>Formule</w:t>
      </w:r>
      <w:r>
        <w:rPr>
          <w:rFonts w:ascii="Calibri" w:hAnsi="Calibri"/>
          <w:color w:val="002060"/>
          <w:sz w:val="20"/>
          <w:szCs w:val="21"/>
        </w:rPr>
        <w:t> :</w:t>
      </w:r>
    </w:p>
    <w:tbl>
      <w:tblPr>
        <w:tblStyle w:val="Grilledutableau"/>
        <w:tblW w:w="0" w:type="auto"/>
        <w:tblInd w:w="250" w:type="dxa"/>
        <w:tblLook w:val="04A0" w:firstRow="1" w:lastRow="0" w:firstColumn="1" w:lastColumn="0" w:noHBand="0" w:noVBand="1"/>
      </w:tblPr>
      <w:tblGrid>
        <w:gridCol w:w="7938"/>
      </w:tblGrid>
      <w:tr w:rsidR="00C80980" w:rsidTr="00F313FB">
        <w:tc>
          <w:tcPr>
            <w:tcW w:w="7938" w:type="dxa"/>
          </w:tcPr>
          <w:p w:rsidR="00C80980" w:rsidRPr="004E433D" w:rsidRDefault="00C80980" w:rsidP="00F313FB">
            <w:pPr>
              <w:spacing w:before="60"/>
              <w:jc w:val="center"/>
              <w:rPr>
                <w:rFonts w:ascii="Calibri" w:hAnsi="Calibri"/>
                <w:color w:val="002060"/>
                <w:sz w:val="20"/>
                <w:szCs w:val="20"/>
              </w:rPr>
            </w:pPr>
            <w:r w:rsidRPr="004E433D">
              <w:rPr>
                <w:rStyle w:val="u1"/>
                <w:rFonts w:ascii="Calibri" w:hAnsi="Calibri"/>
                <w:color w:val="002060"/>
                <w:sz w:val="20"/>
                <w:szCs w:val="20"/>
              </w:rPr>
              <w:t>Moyenne des encours totaux de fin de mois TTC x Nombre de jours de la période analysée</w:t>
            </w:r>
          </w:p>
          <w:p w:rsidR="00C80980" w:rsidRDefault="00C80980" w:rsidP="00F313FB">
            <w:pPr>
              <w:spacing w:after="60"/>
              <w:jc w:val="center"/>
              <w:rPr>
                <w:rFonts w:ascii="Calibri" w:hAnsi="Calibri"/>
                <w:color w:val="002060"/>
                <w:sz w:val="20"/>
                <w:szCs w:val="20"/>
              </w:rPr>
            </w:pPr>
            <w:r>
              <w:rPr>
                <w:rFonts w:ascii="Calibri" w:hAnsi="Calibri"/>
                <w:color w:val="002060"/>
                <w:sz w:val="20"/>
                <w:szCs w:val="20"/>
              </w:rPr>
              <w:t>Chiffre</w:t>
            </w:r>
            <w:r w:rsidRPr="004E433D">
              <w:rPr>
                <w:rFonts w:ascii="Calibri" w:hAnsi="Calibri"/>
                <w:color w:val="002060"/>
                <w:sz w:val="20"/>
                <w:szCs w:val="20"/>
              </w:rPr>
              <w:t xml:space="preserve"> d'affaires total TTC de la période analysée</w:t>
            </w:r>
          </w:p>
        </w:tc>
      </w:tr>
    </w:tbl>
    <w:p w:rsidR="004E433D" w:rsidRPr="00275C8C" w:rsidRDefault="000A357C" w:rsidP="00C80980">
      <w:pPr>
        <w:numPr>
          <w:ilvl w:val="0"/>
          <w:numId w:val="2"/>
        </w:numPr>
        <w:spacing w:before="120" w:after="60"/>
        <w:ind w:left="170" w:hanging="170"/>
        <w:jc w:val="both"/>
        <w:rPr>
          <w:rFonts w:ascii="Calibri" w:hAnsi="Calibri"/>
          <w:color w:val="002060"/>
          <w:sz w:val="20"/>
          <w:szCs w:val="21"/>
          <w:u w:val="single"/>
        </w:rPr>
      </w:pPr>
      <w:r w:rsidRPr="00275C8C">
        <w:rPr>
          <w:rFonts w:ascii="Calibri" w:hAnsi="Calibri"/>
          <w:b/>
          <w:bCs/>
          <w:color w:val="002060"/>
          <w:sz w:val="20"/>
          <w:szCs w:val="21"/>
        </w:rPr>
        <w:t>Variante</w:t>
      </w:r>
      <w:r w:rsidR="005A042C" w:rsidRPr="00275C8C">
        <w:rPr>
          <w:rFonts w:ascii="Calibri" w:hAnsi="Calibri"/>
          <w:b/>
          <w:bCs/>
          <w:color w:val="002060"/>
          <w:sz w:val="20"/>
          <w:szCs w:val="21"/>
        </w:rPr>
        <w:t xml:space="preserve"> 4</w:t>
      </w:r>
      <w:r w:rsidRPr="00275C8C">
        <w:rPr>
          <w:rFonts w:ascii="Calibri" w:hAnsi="Calibri"/>
          <w:b/>
          <w:bCs/>
          <w:color w:val="002060"/>
          <w:sz w:val="20"/>
          <w:szCs w:val="21"/>
        </w:rPr>
        <w:t xml:space="preserve"> : Encours courant</w:t>
      </w:r>
      <w:r w:rsidRPr="00275C8C">
        <w:rPr>
          <w:rFonts w:ascii="Calibri" w:hAnsi="Calibri"/>
          <w:color w:val="002060"/>
          <w:sz w:val="20"/>
          <w:szCs w:val="21"/>
          <w:u w:val="single"/>
        </w:rPr>
        <w:t xml:space="preserve"> </w:t>
      </w:r>
    </w:p>
    <w:p w:rsidR="00C80980" w:rsidRDefault="000A357C" w:rsidP="00C80980">
      <w:pPr>
        <w:spacing w:after="60"/>
        <w:ind w:left="170"/>
        <w:jc w:val="both"/>
        <w:rPr>
          <w:rFonts w:ascii="Calibri" w:hAnsi="Calibri"/>
          <w:color w:val="002060"/>
          <w:sz w:val="20"/>
          <w:szCs w:val="20"/>
        </w:rPr>
      </w:pPr>
      <w:r w:rsidRPr="008335CB">
        <w:rPr>
          <w:rFonts w:ascii="Calibri" w:hAnsi="Calibri"/>
          <w:color w:val="002060"/>
          <w:sz w:val="20"/>
          <w:szCs w:val="20"/>
        </w:rPr>
        <w:t xml:space="preserve">Cette méthode est le DSO meilleur ou BPDSO (Best Possible DSO). C'est le rapport entre l'encours courant ou non exigible et le chiffre d'affaires TTC. </w:t>
      </w:r>
    </w:p>
    <w:p w:rsidR="00751170" w:rsidRDefault="000A357C" w:rsidP="00C80980">
      <w:pPr>
        <w:spacing w:after="60"/>
        <w:ind w:left="170"/>
        <w:jc w:val="both"/>
        <w:rPr>
          <w:rFonts w:ascii="Calibri" w:hAnsi="Calibri"/>
          <w:color w:val="002060"/>
          <w:sz w:val="20"/>
          <w:szCs w:val="20"/>
        </w:rPr>
      </w:pPr>
      <w:r w:rsidRPr="008335CB">
        <w:rPr>
          <w:rFonts w:ascii="Calibri" w:hAnsi="Calibri"/>
          <w:color w:val="002060"/>
          <w:sz w:val="20"/>
          <w:szCs w:val="20"/>
        </w:rPr>
        <w:t xml:space="preserve">Par conséquent trois éléments d'information sont requis pour le calcul : </w:t>
      </w:r>
    </w:p>
    <w:p w:rsidR="00751170" w:rsidRDefault="000A357C" w:rsidP="00C80980">
      <w:pPr>
        <w:spacing w:after="60"/>
        <w:ind w:left="170"/>
        <w:jc w:val="both"/>
        <w:rPr>
          <w:rFonts w:ascii="Calibri" w:hAnsi="Calibri"/>
          <w:color w:val="002060"/>
          <w:sz w:val="20"/>
          <w:szCs w:val="20"/>
        </w:rPr>
      </w:pPr>
      <w:r w:rsidRPr="008335CB">
        <w:rPr>
          <w:rFonts w:ascii="Calibri" w:hAnsi="Calibri"/>
          <w:color w:val="002060"/>
          <w:sz w:val="20"/>
          <w:szCs w:val="20"/>
        </w:rPr>
        <w:t xml:space="preserve">- L'encours total non exigible de fin de mois TTC </w:t>
      </w:r>
    </w:p>
    <w:p w:rsidR="00751170" w:rsidRDefault="000A357C" w:rsidP="00C80980">
      <w:pPr>
        <w:spacing w:after="60"/>
        <w:ind w:left="170"/>
        <w:jc w:val="both"/>
        <w:rPr>
          <w:rFonts w:ascii="Calibri" w:hAnsi="Calibri"/>
          <w:color w:val="002060"/>
          <w:sz w:val="20"/>
          <w:szCs w:val="20"/>
        </w:rPr>
      </w:pPr>
      <w:r w:rsidRPr="008335CB">
        <w:rPr>
          <w:rFonts w:ascii="Calibri" w:hAnsi="Calibri"/>
          <w:color w:val="002060"/>
          <w:sz w:val="20"/>
          <w:szCs w:val="20"/>
        </w:rPr>
        <w:t xml:space="preserve">- Le total des ventes à crédit TTC pour la période analysée (ventes au </w:t>
      </w:r>
      <w:smartTag w:uri="urn:schemas-microsoft-com:office:smarttags" w:element="PersonName">
        <w:r w:rsidRPr="008335CB">
          <w:rPr>
            <w:rFonts w:ascii="Calibri" w:hAnsi="Calibri"/>
            <w:color w:val="002060"/>
            <w:sz w:val="20"/>
            <w:szCs w:val="20"/>
          </w:rPr>
          <w:t>compta</w:t>
        </w:r>
      </w:smartTag>
      <w:r w:rsidRPr="008335CB">
        <w:rPr>
          <w:rFonts w:ascii="Calibri" w:hAnsi="Calibri"/>
          <w:color w:val="002060"/>
          <w:sz w:val="20"/>
          <w:szCs w:val="20"/>
        </w:rPr>
        <w:t xml:space="preserve">nt exclues) </w:t>
      </w:r>
    </w:p>
    <w:p w:rsidR="00751170" w:rsidRDefault="000A357C" w:rsidP="00C80980">
      <w:pPr>
        <w:spacing w:after="60"/>
        <w:ind w:left="170"/>
        <w:jc w:val="both"/>
        <w:rPr>
          <w:rFonts w:ascii="Calibri" w:hAnsi="Calibri"/>
          <w:color w:val="002060"/>
          <w:sz w:val="20"/>
          <w:szCs w:val="20"/>
        </w:rPr>
      </w:pPr>
      <w:r w:rsidRPr="008335CB">
        <w:rPr>
          <w:rFonts w:ascii="Calibri" w:hAnsi="Calibri"/>
          <w:color w:val="002060"/>
          <w:sz w:val="20"/>
          <w:szCs w:val="20"/>
        </w:rPr>
        <w:t xml:space="preserve">- Le nombre de jours de la période analysée </w:t>
      </w:r>
    </w:p>
    <w:p w:rsidR="00751170" w:rsidRDefault="000A357C" w:rsidP="00C80980">
      <w:pPr>
        <w:spacing w:after="60"/>
        <w:ind w:left="170"/>
        <w:jc w:val="both"/>
        <w:rPr>
          <w:rFonts w:ascii="Calibri" w:hAnsi="Calibri"/>
          <w:color w:val="002060"/>
          <w:sz w:val="20"/>
          <w:szCs w:val="20"/>
        </w:rPr>
      </w:pPr>
      <w:r w:rsidRPr="008335CB">
        <w:rPr>
          <w:rFonts w:ascii="Calibri" w:hAnsi="Calibri"/>
          <w:color w:val="002060"/>
          <w:sz w:val="20"/>
          <w:szCs w:val="20"/>
        </w:rPr>
        <w:t>Pour indication : douze mois = 365 jours, six mois = 182 jours et un trimestre = 91 jours</w:t>
      </w:r>
    </w:p>
    <w:p w:rsidR="00751170" w:rsidRDefault="000A357C" w:rsidP="00C80980">
      <w:pPr>
        <w:spacing w:before="120" w:after="60"/>
        <w:ind w:left="170"/>
        <w:jc w:val="both"/>
        <w:rPr>
          <w:rFonts w:ascii="Calibri" w:hAnsi="Calibri"/>
          <w:color w:val="002060"/>
          <w:sz w:val="20"/>
          <w:szCs w:val="20"/>
        </w:rPr>
      </w:pPr>
      <w:r w:rsidRPr="008335CB">
        <w:rPr>
          <w:rFonts w:ascii="Calibri" w:hAnsi="Calibri"/>
          <w:color w:val="002060"/>
          <w:sz w:val="20"/>
          <w:szCs w:val="20"/>
        </w:rPr>
        <w:t>Formule :</w:t>
      </w:r>
    </w:p>
    <w:tbl>
      <w:tblPr>
        <w:tblStyle w:val="Grilledutableau"/>
        <w:tblW w:w="0" w:type="auto"/>
        <w:tblInd w:w="250" w:type="dxa"/>
        <w:tblLook w:val="04A0" w:firstRow="1" w:lastRow="0" w:firstColumn="1" w:lastColumn="0" w:noHBand="0" w:noVBand="1"/>
      </w:tblPr>
      <w:tblGrid>
        <w:gridCol w:w="7938"/>
      </w:tblGrid>
      <w:tr w:rsidR="00C80980" w:rsidTr="00F313FB">
        <w:tc>
          <w:tcPr>
            <w:tcW w:w="7938" w:type="dxa"/>
          </w:tcPr>
          <w:p w:rsidR="00C80980" w:rsidRDefault="00C80980" w:rsidP="00C80980">
            <w:pPr>
              <w:spacing w:before="60" w:after="60"/>
              <w:ind w:left="170"/>
              <w:jc w:val="center"/>
              <w:rPr>
                <w:rFonts w:ascii="Calibri" w:hAnsi="Calibri"/>
                <w:color w:val="002060"/>
                <w:sz w:val="20"/>
                <w:szCs w:val="20"/>
              </w:rPr>
            </w:pPr>
            <w:r w:rsidRPr="00C80980">
              <w:rPr>
                <w:rStyle w:val="u1"/>
                <w:rFonts w:ascii="Calibri" w:hAnsi="Calibri"/>
                <w:color w:val="002060"/>
                <w:sz w:val="20"/>
                <w:szCs w:val="20"/>
              </w:rPr>
              <w:t>Encours courant fin de mois TTC x Nombre de jours de la période analysée</w:t>
            </w:r>
            <w:r w:rsidRPr="00C80980">
              <w:rPr>
                <w:rFonts w:ascii="Calibri" w:hAnsi="Calibri"/>
                <w:color w:val="002060"/>
                <w:sz w:val="20"/>
                <w:szCs w:val="20"/>
              </w:rPr>
              <w:t xml:space="preserve"> </w:t>
            </w:r>
            <w:r w:rsidRPr="00C80980">
              <w:rPr>
                <w:rFonts w:ascii="Calibri" w:hAnsi="Calibri"/>
                <w:color w:val="002060"/>
                <w:sz w:val="20"/>
                <w:szCs w:val="20"/>
              </w:rPr>
              <w:br/>
              <w:t>Chiffre d'affaires total TTC de la période analysée</w:t>
            </w:r>
          </w:p>
        </w:tc>
      </w:tr>
    </w:tbl>
    <w:p w:rsidR="00C80980" w:rsidRPr="00275C8C" w:rsidRDefault="000A357C" w:rsidP="00C80980">
      <w:pPr>
        <w:numPr>
          <w:ilvl w:val="0"/>
          <w:numId w:val="2"/>
        </w:numPr>
        <w:spacing w:before="120" w:after="60"/>
        <w:ind w:left="170" w:hanging="170"/>
        <w:jc w:val="both"/>
        <w:rPr>
          <w:rFonts w:ascii="Calibri" w:hAnsi="Calibri"/>
          <w:color w:val="002060"/>
          <w:sz w:val="20"/>
          <w:szCs w:val="21"/>
          <w:u w:val="single"/>
        </w:rPr>
      </w:pPr>
      <w:r w:rsidRPr="00275C8C">
        <w:rPr>
          <w:rFonts w:ascii="Calibri" w:hAnsi="Calibri"/>
          <w:b/>
          <w:bCs/>
          <w:color w:val="002060"/>
          <w:sz w:val="20"/>
          <w:szCs w:val="21"/>
        </w:rPr>
        <w:t>Variante</w:t>
      </w:r>
      <w:r w:rsidR="005A042C" w:rsidRPr="00275C8C">
        <w:rPr>
          <w:rFonts w:ascii="Calibri" w:hAnsi="Calibri"/>
          <w:b/>
          <w:bCs/>
          <w:color w:val="002060"/>
          <w:sz w:val="20"/>
          <w:szCs w:val="21"/>
        </w:rPr>
        <w:t xml:space="preserve"> 5</w:t>
      </w:r>
      <w:r w:rsidRPr="00275C8C">
        <w:rPr>
          <w:rFonts w:ascii="Calibri" w:hAnsi="Calibri"/>
          <w:b/>
          <w:bCs/>
          <w:color w:val="002060"/>
          <w:sz w:val="20"/>
          <w:szCs w:val="21"/>
        </w:rPr>
        <w:t xml:space="preserve"> : Encours échu</w:t>
      </w:r>
      <w:r w:rsidRPr="00275C8C">
        <w:rPr>
          <w:rFonts w:ascii="Calibri" w:hAnsi="Calibri"/>
          <w:color w:val="002060"/>
          <w:sz w:val="20"/>
          <w:szCs w:val="21"/>
          <w:u w:val="single"/>
        </w:rPr>
        <w:t xml:space="preserve"> </w:t>
      </w:r>
    </w:p>
    <w:p w:rsidR="00C80980" w:rsidRDefault="000A357C" w:rsidP="00C80980">
      <w:pPr>
        <w:spacing w:after="60"/>
        <w:ind w:left="170"/>
        <w:jc w:val="both"/>
        <w:rPr>
          <w:rFonts w:ascii="Calibri" w:hAnsi="Calibri"/>
          <w:color w:val="002060"/>
          <w:sz w:val="20"/>
          <w:szCs w:val="20"/>
        </w:rPr>
      </w:pPr>
      <w:r w:rsidRPr="008335CB">
        <w:rPr>
          <w:rFonts w:ascii="Calibri" w:hAnsi="Calibri"/>
          <w:color w:val="002060"/>
          <w:sz w:val="20"/>
          <w:szCs w:val="20"/>
        </w:rPr>
        <w:t>Cette méthode qui fait appel à la notion de retard est le JMR (nombre de Jours Moyen de Retard) ou ACD (</w:t>
      </w:r>
      <w:proofErr w:type="spellStart"/>
      <w:r w:rsidRPr="008335CB">
        <w:rPr>
          <w:rFonts w:ascii="Calibri" w:hAnsi="Calibri"/>
          <w:color w:val="002060"/>
          <w:sz w:val="20"/>
          <w:szCs w:val="20"/>
        </w:rPr>
        <w:t>Average</w:t>
      </w:r>
      <w:proofErr w:type="spellEnd"/>
      <w:r w:rsidRPr="008335CB">
        <w:rPr>
          <w:rFonts w:ascii="Calibri" w:hAnsi="Calibri"/>
          <w:color w:val="002060"/>
          <w:sz w:val="20"/>
          <w:szCs w:val="20"/>
        </w:rPr>
        <w:t xml:space="preserve"> </w:t>
      </w:r>
      <w:proofErr w:type="spellStart"/>
      <w:r w:rsidRPr="008335CB">
        <w:rPr>
          <w:rFonts w:ascii="Calibri" w:hAnsi="Calibri"/>
          <w:color w:val="002060"/>
          <w:sz w:val="20"/>
          <w:szCs w:val="20"/>
        </w:rPr>
        <w:t>Cost</w:t>
      </w:r>
      <w:proofErr w:type="spellEnd"/>
      <w:r w:rsidRPr="008335CB">
        <w:rPr>
          <w:rFonts w:ascii="Calibri" w:hAnsi="Calibri"/>
          <w:color w:val="002060"/>
          <w:sz w:val="20"/>
          <w:szCs w:val="20"/>
        </w:rPr>
        <w:t xml:space="preserve"> </w:t>
      </w:r>
      <w:proofErr w:type="spellStart"/>
      <w:r w:rsidRPr="008335CB">
        <w:rPr>
          <w:rFonts w:ascii="Calibri" w:hAnsi="Calibri"/>
          <w:color w:val="002060"/>
          <w:sz w:val="20"/>
          <w:szCs w:val="20"/>
        </w:rPr>
        <w:t>Deliquency</w:t>
      </w:r>
      <w:proofErr w:type="spellEnd"/>
      <w:r w:rsidRPr="008335CB">
        <w:rPr>
          <w:rFonts w:ascii="Calibri" w:hAnsi="Calibri"/>
          <w:color w:val="002060"/>
          <w:sz w:val="20"/>
          <w:szCs w:val="20"/>
        </w:rPr>
        <w:t xml:space="preserve">). </w:t>
      </w:r>
      <w:r w:rsidRPr="008335CB">
        <w:rPr>
          <w:rFonts w:ascii="Calibri" w:hAnsi="Calibri"/>
          <w:color w:val="002060"/>
          <w:sz w:val="20"/>
          <w:szCs w:val="20"/>
        </w:rPr>
        <w:br/>
        <w:t>C'est le rapport entre l'encours échu et le chiffre d'affaires TTC.</w:t>
      </w:r>
    </w:p>
    <w:p w:rsidR="00C80980" w:rsidRDefault="000A357C" w:rsidP="00C80980">
      <w:pPr>
        <w:spacing w:after="60"/>
        <w:ind w:left="170"/>
        <w:jc w:val="both"/>
        <w:rPr>
          <w:rFonts w:ascii="Calibri" w:hAnsi="Calibri"/>
          <w:color w:val="002060"/>
          <w:sz w:val="20"/>
          <w:szCs w:val="20"/>
        </w:rPr>
      </w:pPr>
      <w:r w:rsidRPr="008335CB">
        <w:rPr>
          <w:rFonts w:ascii="Calibri" w:hAnsi="Calibri"/>
          <w:color w:val="002060"/>
          <w:sz w:val="20"/>
          <w:szCs w:val="20"/>
        </w:rPr>
        <w:t xml:space="preserve">Formule : </w:t>
      </w:r>
    </w:p>
    <w:tbl>
      <w:tblPr>
        <w:tblStyle w:val="Grilledutableau"/>
        <w:tblW w:w="0" w:type="auto"/>
        <w:tblInd w:w="250" w:type="dxa"/>
        <w:tblLook w:val="04A0" w:firstRow="1" w:lastRow="0" w:firstColumn="1" w:lastColumn="0" w:noHBand="0" w:noVBand="1"/>
      </w:tblPr>
      <w:tblGrid>
        <w:gridCol w:w="7938"/>
      </w:tblGrid>
      <w:tr w:rsidR="00C80980" w:rsidTr="00F313FB">
        <w:tc>
          <w:tcPr>
            <w:tcW w:w="7938" w:type="dxa"/>
          </w:tcPr>
          <w:p w:rsidR="00C80980" w:rsidRDefault="00C80980" w:rsidP="00C80980">
            <w:pPr>
              <w:spacing w:before="120"/>
              <w:jc w:val="center"/>
              <w:rPr>
                <w:rStyle w:val="u1"/>
                <w:rFonts w:ascii="Calibri" w:hAnsi="Calibri"/>
                <w:color w:val="002060"/>
                <w:sz w:val="20"/>
                <w:szCs w:val="20"/>
              </w:rPr>
            </w:pPr>
            <w:r w:rsidRPr="008335CB">
              <w:rPr>
                <w:rStyle w:val="u1"/>
                <w:rFonts w:ascii="Calibri" w:hAnsi="Calibri"/>
                <w:color w:val="002060"/>
                <w:sz w:val="20"/>
                <w:szCs w:val="20"/>
              </w:rPr>
              <w:t>Encours échu fin de mois TTC x Nombre de jours de la période analysée</w:t>
            </w:r>
          </w:p>
          <w:p w:rsidR="00C80980" w:rsidRPr="00C80980" w:rsidRDefault="00C80980" w:rsidP="00C80980">
            <w:pPr>
              <w:spacing w:after="60"/>
              <w:jc w:val="center"/>
              <w:rPr>
                <w:rFonts w:ascii="Calibri" w:hAnsi="Calibri"/>
                <w:color w:val="002060"/>
                <w:sz w:val="22"/>
                <w:szCs w:val="22"/>
                <w:u w:val="single"/>
              </w:rPr>
            </w:pPr>
            <w:r w:rsidRPr="008335CB">
              <w:rPr>
                <w:rFonts w:ascii="Calibri" w:hAnsi="Calibri"/>
                <w:color w:val="002060"/>
                <w:sz w:val="20"/>
                <w:szCs w:val="20"/>
              </w:rPr>
              <w:t>Chiffre d'affaires total TTC de la période analysée</w:t>
            </w:r>
          </w:p>
        </w:tc>
      </w:tr>
    </w:tbl>
    <w:p w:rsidR="00C80980" w:rsidRPr="00275C8C" w:rsidRDefault="000A357C" w:rsidP="00A11EAE">
      <w:pPr>
        <w:numPr>
          <w:ilvl w:val="0"/>
          <w:numId w:val="2"/>
        </w:numPr>
        <w:spacing w:before="120" w:after="60"/>
        <w:ind w:left="170" w:hanging="170"/>
        <w:jc w:val="both"/>
        <w:rPr>
          <w:rFonts w:ascii="Calibri" w:hAnsi="Calibri"/>
          <w:color w:val="002060"/>
          <w:sz w:val="20"/>
          <w:szCs w:val="21"/>
          <w:u w:val="single"/>
        </w:rPr>
      </w:pPr>
      <w:r w:rsidRPr="00275C8C">
        <w:rPr>
          <w:rFonts w:ascii="Calibri" w:hAnsi="Calibri"/>
          <w:b/>
          <w:bCs/>
          <w:color w:val="002060"/>
          <w:sz w:val="20"/>
          <w:szCs w:val="21"/>
        </w:rPr>
        <w:t>Variante</w:t>
      </w:r>
      <w:r w:rsidR="005A042C" w:rsidRPr="00275C8C">
        <w:rPr>
          <w:rFonts w:ascii="Calibri" w:hAnsi="Calibri"/>
          <w:b/>
          <w:bCs/>
          <w:color w:val="002060"/>
          <w:sz w:val="20"/>
          <w:szCs w:val="21"/>
        </w:rPr>
        <w:t xml:space="preserve"> 6</w:t>
      </w:r>
      <w:r w:rsidRPr="00275C8C">
        <w:rPr>
          <w:rFonts w:ascii="Calibri" w:hAnsi="Calibri"/>
          <w:b/>
          <w:bCs/>
          <w:color w:val="002060"/>
          <w:sz w:val="20"/>
          <w:szCs w:val="21"/>
        </w:rPr>
        <w:t xml:space="preserve"> : Somme des jours</w:t>
      </w:r>
      <w:r w:rsidRPr="00275C8C">
        <w:rPr>
          <w:rFonts w:ascii="Calibri" w:hAnsi="Calibri"/>
          <w:color w:val="002060"/>
          <w:sz w:val="20"/>
          <w:szCs w:val="21"/>
          <w:u w:val="single"/>
        </w:rPr>
        <w:t xml:space="preserve"> </w:t>
      </w:r>
    </w:p>
    <w:p w:rsidR="007976E3" w:rsidRPr="008335CB" w:rsidRDefault="000A357C" w:rsidP="00A11EAE">
      <w:pPr>
        <w:spacing w:after="60"/>
        <w:ind w:left="170"/>
        <w:jc w:val="both"/>
        <w:rPr>
          <w:rFonts w:ascii="Calibri" w:hAnsi="Calibri"/>
          <w:color w:val="002060"/>
          <w:sz w:val="20"/>
          <w:szCs w:val="20"/>
        </w:rPr>
      </w:pPr>
      <w:r w:rsidRPr="008335CB">
        <w:rPr>
          <w:rFonts w:ascii="Calibri" w:hAnsi="Calibri"/>
          <w:color w:val="002060"/>
          <w:sz w:val="20"/>
          <w:szCs w:val="20"/>
        </w:rPr>
        <w:t>Cette méthode qui prend plus en compte le poids relatif des jours est le DPMSO (</w:t>
      </w:r>
      <w:proofErr w:type="spellStart"/>
      <w:r w:rsidRPr="008335CB">
        <w:rPr>
          <w:rFonts w:ascii="Calibri" w:hAnsi="Calibri"/>
          <w:color w:val="002060"/>
          <w:sz w:val="20"/>
          <w:szCs w:val="20"/>
        </w:rPr>
        <w:t>Days</w:t>
      </w:r>
      <w:proofErr w:type="spellEnd"/>
      <w:r w:rsidRPr="008335CB">
        <w:rPr>
          <w:rFonts w:ascii="Calibri" w:hAnsi="Calibri"/>
          <w:color w:val="002060"/>
          <w:sz w:val="20"/>
          <w:szCs w:val="20"/>
        </w:rPr>
        <w:t xml:space="preserve"> Per </w:t>
      </w:r>
      <w:proofErr w:type="spellStart"/>
      <w:r w:rsidRPr="008335CB">
        <w:rPr>
          <w:rFonts w:ascii="Calibri" w:hAnsi="Calibri"/>
          <w:color w:val="002060"/>
          <w:sz w:val="20"/>
          <w:szCs w:val="20"/>
        </w:rPr>
        <w:t>Month</w:t>
      </w:r>
      <w:proofErr w:type="spellEnd"/>
      <w:r w:rsidRPr="008335CB">
        <w:rPr>
          <w:rFonts w:ascii="Calibri" w:hAnsi="Calibri"/>
          <w:color w:val="002060"/>
          <w:sz w:val="20"/>
          <w:szCs w:val="20"/>
        </w:rPr>
        <w:t xml:space="preserve"> Sales </w:t>
      </w:r>
      <w:proofErr w:type="spellStart"/>
      <w:r w:rsidRPr="008335CB">
        <w:rPr>
          <w:rFonts w:ascii="Calibri" w:hAnsi="Calibri"/>
          <w:color w:val="002060"/>
          <w:sz w:val="20"/>
          <w:szCs w:val="20"/>
        </w:rPr>
        <w:t>Oustanding</w:t>
      </w:r>
      <w:proofErr w:type="spellEnd"/>
      <w:r w:rsidRPr="008335CB">
        <w:rPr>
          <w:rFonts w:ascii="Calibri" w:hAnsi="Calibri"/>
          <w:color w:val="002060"/>
          <w:sz w:val="20"/>
          <w:szCs w:val="20"/>
        </w:rPr>
        <w:t xml:space="preserve">). </w:t>
      </w:r>
      <w:r w:rsidRPr="008335CB">
        <w:rPr>
          <w:rFonts w:ascii="Calibri" w:hAnsi="Calibri"/>
          <w:color w:val="002060"/>
          <w:sz w:val="20"/>
          <w:szCs w:val="20"/>
        </w:rPr>
        <w:br/>
        <w:t xml:space="preserve">C'est la somme en jours des n encours résiduels des n derniers mois de chiffre d'affaires TTC, calculés au prorata de chaque chiffre d'affaires TTC correspondant. </w:t>
      </w:r>
    </w:p>
    <w:p w:rsidR="00D5215D" w:rsidRPr="008335CB" w:rsidRDefault="000A357C" w:rsidP="00A11EAE">
      <w:pPr>
        <w:spacing w:after="60"/>
        <w:ind w:left="170"/>
        <w:jc w:val="both"/>
        <w:rPr>
          <w:rFonts w:ascii="Calibri" w:hAnsi="Calibri"/>
          <w:color w:val="002060"/>
          <w:sz w:val="20"/>
          <w:szCs w:val="20"/>
        </w:rPr>
      </w:pPr>
      <w:r w:rsidRPr="008335CB">
        <w:rPr>
          <w:rFonts w:ascii="Calibri" w:hAnsi="Calibri"/>
          <w:color w:val="002060"/>
          <w:sz w:val="20"/>
          <w:szCs w:val="20"/>
        </w:rPr>
        <w:t xml:space="preserve">1) Avantage de la méthode </w:t>
      </w:r>
      <w:smartTag w:uri="urn:schemas-microsoft-com:office:smarttags" w:element="PersonName">
        <w:r w:rsidRPr="008335CB">
          <w:rPr>
            <w:rFonts w:ascii="Calibri" w:hAnsi="Calibri"/>
            <w:color w:val="002060"/>
            <w:sz w:val="20"/>
            <w:szCs w:val="20"/>
          </w:rPr>
          <w:t>compta</w:t>
        </w:r>
      </w:smartTag>
      <w:r w:rsidRPr="008335CB">
        <w:rPr>
          <w:rFonts w:ascii="Calibri" w:hAnsi="Calibri"/>
          <w:color w:val="002060"/>
          <w:sz w:val="20"/>
          <w:szCs w:val="20"/>
        </w:rPr>
        <w:t xml:space="preserve">ble (toutes variantes) : </w:t>
      </w:r>
    </w:p>
    <w:p w:rsidR="007976E3" w:rsidRPr="008335CB" w:rsidRDefault="000A357C" w:rsidP="00A11EAE">
      <w:pPr>
        <w:ind w:left="170"/>
        <w:jc w:val="both"/>
        <w:rPr>
          <w:rFonts w:ascii="Calibri" w:hAnsi="Calibri"/>
          <w:color w:val="002060"/>
          <w:sz w:val="20"/>
          <w:szCs w:val="20"/>
        </w:rPr>
      </w:pPr>
      <w:r w:rsidRPr="008335CB">
        <w:rPr>
          <w:rFonts w:ascii="Calibri" w:hAnsi="Calibri"/>
          <w:color w:val="002060"/>
          <w:sz w:val="20"/>
          <w:szCs w:val="20"/>
        </w:rPr>
        <w:t xml:space="preserve">- simplicité du calcul </w:t>
      </w:r>
    </w:p>
    <w:p w:rsidR="00C80980" w:rsidRDefault="000A357C" w:rsidP="00A11EAE">
      <w:pPr>
        <w:shd w:val="clear" w:color="auto" w:fill="FFFFFF"/>
        <w:spacing w:before="60"/>
        <w:ind w:left="170"/>
        <w:jc w:val="both"/>
        <w:rPr>
          <w:rFonts w:ascii="Calibri" w:hAnsi="Calibri"/>
          <w:color w:val="002060"/>
          <w:sz w:val="20"/>
          <w:szCs w:val="20"/>
        </w:rPr>
      </w:pPr>
      <w:r w:rsidRPr="008335CB">
        <w:rPr>
          <w:rFonts w:ascii="Calibri" w:hAnsi="Calibri"/>
          <w:color w:val="002060"/>
          <w:sz w:val="20"/>
          <w:szCs w:val="20"/>
        </w:rPr>
        <w:t xml:space="preserve">2) Inconvénients de la méthode </w:t>
      </w:r>
      <w:smartTag w:uri="urn:schemas-microsoft-com:office:smarttags" w:element="PersonName">
        <w:r w:rsidRPr="008335CB">
          <w:rPr>
            <w:rFonts w:ascii="Calibri" w:hAnsi="Calibri"/>
            <w:color w:val="002060"/>
            <w:sz w:val="20"/>
            <w:szCs w:val="20"/>
          </w:rPr>
          <w:t>compta</w:t>
        </w:r>
      </w:smartTag>
      <w:r w:rsidRPr="008335CB">
        <w:rPr>
          <w:rFonts w:ascii="Calibri" w:hAnsi="Calibri"/>
          <w:color w:val="002060"/>
          <w:sz w:val="20"/>
          <w:szCs w:val="20"/>
        </w:rPr>
        <w:t xml:space="preserve">ble (plus ou moins suivant les variantes) : </w:t>
      </w:r>
    </w:p>
    <w:p w:rsidR="00C80980" w:rsidRDefault="000A357C" w:rsidP="00A11EAE">
      <w:pPr>
        <w:shd w:val="clear" w:color="auto" w:fill="FFFFFF"/>
        <w:spacing w:before="60"/>
        <w:ind w:left="170"/>
        <w:jc w:val="both"/>
        <w:rPr>
          <w:rFonts w:ascii="Calibri" w:hAnsi="Calibri"/>
          <w:color w:val="002060"/>
          <w:sz w:val="20"/>
          <w:szCs w:val="20"/>
        </w:rPr>
      </w:pPr>
      <w:r w:rsidRPr="008335CB">
        <w:rPr>
          <w:rFonts w:ascii="Calibri" w:hAnsi="Calibri"/>
          <w:color w:val="002060"/>
          <w:sz w:val="20"/>
          <w:szCs w:val="20"/>
        </w:rPr>
        <w:t>- suivant la période analysée (90, 120 jours ou plus) le DSO sera très imprécis</w:t>
      </w:r>
    </w:p>
    <w:p w:rsidR="00C80980" w:rsidRDefault="000A357C" w:rsidP="00A11EAE">
      <w:pPr>
        <w:shd w:val="clear" w:color="auto" w:fill="FFFFFF"/>
        <w:spacing w:before="60"/>
        <w:ind w:left="170"/>
        <w:jc w:val="both"/>
        <w:rPr>
          <w:rFonts w:ascii="Calibri" w:hAnsi="Calibri"/>
          <w:color w:val="002060"/>
          <w:sz w:val="20"/>
          <w:szCs w:val="20"/>
        </w:rPr>
      </w:pPr>
      <w:r w:rsidRPr="008335CB">
        <w:rPr>
          <w:rFonts w:ascii="Calibri" w:hAnsi="Calibri"/>
          <w:color w:val="002060"/>
          <w:sz w:val="20"/>
          <w:szCs w:val="20"/>
        </w:rPr>
        <w:t xml:space="preserve">- le calcul ne tient pas compte de la saisonnalité de certaines entreprises </w:t>
      </w:r>
    </w:p>
    <w:p w:rsidR="00C80980" w:rsidRDefault="000A357C" w:rsidP="00A11EAE">
      <w:pPr>
        <w:shd w:val="clear" w:color="auto" w:fill="FFFFFF"/>
        <w:spacing w:before="60"/>
        <w:ind w:left="170"/>
        <w:jc w:val="both"/>
        <w:rPr>
          <w:rFonts w:ascii="Calibri" w:hAnsi="Calibri"/>
          <w:color w:val="002060"/>
          <w:sz w:val="20"/>
          <w:szCs w:val="20"/>
        </w:rPr>
      </w:pPr>
      <w:r w:rsidRPr="008335CB">
        <w:rPr>
          <w:rFonts w:ascii="Calibri" w:hAnsi="Calibri"/>
          <w:color w:val="002060"/>
          <w:sz w:val="20"/>
          <w:szCs w:val="20"/>
        </w:rPr>
        <w:t xml:space="preserve">- les variations de CA influent fortement sur le résultat et faussent l'observation </w:t>
      </w:r>
    </w:p>
    <w:p w:rsidR="00C80980" w:rsidRDefault="000A357C" w:rsidP="00A11EAE">
      <w:pPr>
        <w:shd w:val="clear" w:color="auto" w:fill="FFFFFF"/>
        <w:spacing w:before="60" w:after="120"/>
        <w:ind w:left="170"/>
        <w:jc w:val="both"/>
        <w:rPr>
          <w:rFonts w:ascii="Calibri" w:hAnsi="Calibri"/>
          <w:color w:val="002060"/>
          <w:sz w:val="20"/>
          <w:szCs w:val="20"/>
        </w:rPr>
      </w:pPr>
      <w:r w:rsidRPr="008335CB">
        <w:rPr>
          <w:rFonts w:ascii="Calibri" w:hAnsi="Calibri"/>
          <w:color w:val="002060"/>
          <w:sz w:val="20"/>
          <w:szCs w:val="20"/>
        </w:rPr>
        <w:t xml:space="preserve">- ce calcul est non représentatif de la durée réelle de crédit ni de l'âge moyen des créances </w:t>
      </w:r>
    </w:p>
    <w:p w:rsidR="007976E3" w:rsidRPr="008469E4" w:rsidRDefault="00A11EAE" w:rsidP="008469E4">
      <w:pPr>
        <w:shd w:val="clear" w:color="auto" w:fill="FFFFFF"/>
        <w:spacing w:after="60"/>
        <w:jc w:val="both"/>
        <w:rPr>
          <w:rFonts w:ascii="Calibri" w:hAnsi="Calibri"/>
          <w:b/>
          <w:color w:val="002060"/>
          <w:sz w:val="21"/>
          <w:szCs w:val="21"/>
        </w:rPr>
      </w:pPr>
      <w:r w:rsidRPr="008469E4">
        <w:rPr>
          <w:rStyle w:val="fluocyan1"/>
          <w:rFonts w:ascii="Calibri" w:hAnsi="Calibri"/>
          <w:b/>
          <w:color w:val="002060"/>
          <w:sz w:val="21"/>
          <w:szCs w:val="21"/>
          <w:shd w:val="clear" w:color="auto" w:fill="FFFFFF"/>
        </w:rPr>
        <w:t xml:space="preserve">2. </w:t>
      </w:r>
      <w:r w:rsidR="000A357C" w:rsidRPr="008469E4">
        <w:rPr>
          <w:rStyle w:val="fluocyan1"/>
          <w:rFonts w:ascii="Calibri" w:hAnsi="Calibri"/>
          <w:b/>
          <w:color w:val="002060"/>
          <w:sz w:val="21"/>
          <w:szCs w:val="21"/>
          <w:shd w:val="clear" w:color="auto" w:fill="FFFFFF"/>
        </w:rPr>
        <w:t xml:space="preserve">La méthode « count back » </w:t>
      </w:r>
      <w:r w:rsidR="000A357C" w:rsidRPr="008469E4">
        <w:rPr>
          <w:rFonts w:ascii="Calibri" w:hAnsi="Calibri"/>
          <w:b/>
          <w:color w:val="002060"/>
          <w:sz w:val="21"/>
          <w:szCs w:val="21"/>
        </w:rPr>
        <w:t>:</w:t>
      </w:r>
    </w:p>
    <w:p w:rsidR="004E433D" w:rsidRDefault="000A357C" w:rsidP="00A11EAE">
      <w:pPr>
        <w:spacing w:after="60"/>
        <w:jc w:val="both"/>
        <w:rPr>
          <w:rFonts w:ascii="Calibri" w:hAnsi="Calibri"/>
          <w:color w:val="002060"/>
          <w:sz w:val="20"/>
          <w:szCs w:val="20"/>
        </w:rPr>
      </w:pPr>
      <w:r w:rsidRPr="00A11EAE">
        <w:rPr>
          <w:rFonts w:ascii="Calibri" w:hAnsi="Calibri"/>
          <w:color w:val="002060"/>
          <w:sz w:val="20"/>
          <w:szCs w:val="20"/>
        </w:rPr>
        <w:t xml:space="preserve">Elle consiste à ôter successivement de l'encours financier, jusqu'à épuisement de celui-ci, le chiffre d'affaires TTC de chaque mois et d'additionner le nombre de jours de chacun des mois correspondants </w:t>
      </w:r>
    </w:p>
    <w:p w:rsidR="00275C8C" w:rsidRPr="00A11EAE" w:rsidRDefault="00275C8C" w:rsidP="00A11EAE">
      <w:pPr>
        <w:spacing w:after="60"/>
        <w:jc w:val="both"/>
        <w:rPr>
          <w:rFonts w:ascii="Calibri" w:hAnsi="Calibri"/>
          <w:color w:val="002060"/>
          <w:sz w:val="20"/>
          <w:szCs w:val="20"/>
        </w:rPr>
      </w:pPr>
    </w:p>
    <w:p w:rsidR="004E433D" w:rsidRDefault="000A357C" w:rsidP="00A11EAE">
      <w:pPr>
        <w:spacing w:after="60"/>
        <w:jc w:val="both"/>
        <w:rPr>
          <w:rFonts w:ascii="Calibri" w:hAnsi="Calibri"/>
          <w:color w:val="002060"/>
          <w:sz w:val="20"/>
          <w:szCs w:val="20"/>
        </w:rPr>
      </w:pPr>
      <w:r w:rsidRPr="008335CB">
        <w:rPr>
          <w:rFonts w:ascii="Calibri" w:hAnsi="Calibri"/>
          <w:color w:val="002060"/>
          <w:sz w:val="20"/>
          <w:szCs w:val="20"/>
        </w:rPr>
        <w:lastRenderedPageBreak/>
        <w:t xml:space="preserve">Exemple : </w:t>
      </w:r>
    </w:p>
    <w:p w:rsidR="004E433D" w:rsidRDefault="000A357C" w:rsidP="00A11EAE">
      <w:pPr>
        <w:spacing w:after="60"/>
        <w:jc w:val="both"/>
        <w:rPr>
          <w:rFonts w:ascii="Calibri" w:hAnsi="Calibri"/>
          <w:color w:val="002060"/>
          <w:sz w:val="20"/>
          <w:szCs w:val="20"/>
        </w:rPr>
      </w:pPr>
      <w:r w:rsidRPr="008335CB">
        <w:rPr>
          <w:rFonts w:ascii="Calibri" w:hAnsi="Calibri"/>
          <w:color w:val="002060"/>
          <w:sz w:val="20"/>
          <w:szCs w:val="20"/>
        </w:rPr>
        <w:t>Encours fin de mois TTC (janvier 2003) = 1</w:t>
      </w:r>
      <w:r w:rsidR="004E433D">
        <w:rPr>
          <w:rFonts w:ascii="Calibri" w:hAnsi="Calibri"/>
          <w:color w:val="002060"/>
          <w:sz w:val="20"/>
          <w:szCs w:val="20"/>
        </w:rPr>
        <w:t> </w:t>
      </w:r>
      <w:r w:rsidRPr="008335CB">
        <w:rPr>
          <w:rFonts w:ascii="Calibri" w:hAnsi="Calibri"/>
          <w:color w:val="002060"/>
          <w:sz w:val="20"/>
          <w:szCs w:val="20"/>
        </w:rPr>
        <w:t>000</w:t>
      </w:r>
    </w:p>
    <w:p w:rsidR="00A11EAE" w:rsidRDefault="000A357C" w:rsidP="00A11EAE">
      <w:pPr>
        <w:spacing w:after="60"/>
        <w:jc w:val="both"/>
        <w:rPr>
          <w:rFonts w:ascii="Calibri" w:hAnsi="Calibri"/>
          <w:color w:val="002060"/>
          <w:sz w:val="20"/>
          <w:szCs w:val="20"/>
        </w:rPr>
      </w:pPr>
      <w:r w:rsidRPr="008335CB">
        <w:rPr>
          <w:rFonts w:ascii="Calibri" w:hAnsi="Calibri"/>
          <w:color w:val="002060"/>
          <w:sz w:val="20"/>
          <w:szCs w:val="20"/>
        </w:rPr>
        <w:t xml:space="preserve">Vous pouvez utiliser le nombre exact de jours dans chaque mois soit 31, 28, 31, etc. ou juste les jours ouvrables soit 21 jours chaque mois ou simplement choisir une moyenne de 30 jours comme ci-dessous. </w:t>
      </w:r>
    </w:p>
    <w:p w:rsidR="00170DB9" w:rsidRPr="00E05800" w:rsidRDefault="000A357C" w:rsidP="00170DB9">
      <w:pPr>
        <w:spacing w:after="60"/>
        <w:jc w:val="both"/>
        <w:rPr>
          <w:rFonts w:ascii="Calibri" w:hAnsi="Calibri"/>
          <w:color w:val="002060"/>
          <w:sz w:val="20"/>
          <w:szCs w:val="20"/>
          <w:lang w:val="en-US"/>
        </w:rPr>
      </w:pPr>
      <w:r w:rsidRPr="00BB5A31">
        <w:rPr>
          <w:rFonts w:ascii="Calibri" w:hAnsi="Calibri"/>
          <w:color w:val="002060"/>
          <w:sz w:val="20"/>
          <w:szCs w:val="20"/>
          <w:lang w:val="en-US"/>
        </w:rPr>
        <w:br/>
      </w:r>
      <w:r w:rsidRPr="00E05800">
        <w:rPr>
          <w:rFonts w:ascii="Calibri" w:hAnsi="Calibri"/>
          <w:color w:val="002060"/>
          <w:sz w:val="20"/>
          <w:szCs w:val="20"/>
          <w:lang w:val="en-US"/>
        </w:rPr>
        <w:t>........</w:t>
      </w:r>
      <w:r w:rsidRPr="00E05800">
        <w:rPr>
          <w:rFonts w:ascii="Calibri" w:hAnsi="Calibri"/>
          <w:b/>
          <w:bCs/>
          <w:color w:val="002060"/>
          <w:sz w:val="20"/>
          <w:szCs w:val="20"/>
          <w:lang w:val="en-US"/>
        </w:rPr>
        <w:t>MOIS</w:t>
      </w:r>
      <w:r w:rsidRPr="00E05800">
        <w:rPr>
          <w:rFonts w:ascii="Calibri" w:hAnsi="Calibri"/>
          <w:color w:val="002060"/>
          <w:sz w:val="20"/>
          <w:szCs w:val="20"/>
          <w:lang w:val="en-US"/>
        </w:rPr>
        <w:t xml:space="preserve"> ............................</w:t>
      </w:r>
      <w:r w:rsidRPr="00E05800">
        <w:rPr>
          <w:rFonts w:ascii="Calibri" w:hAnsi="Calibri"/>
          <w:b/>
          <w:bCs/>
          <w:color w:val="002060"/>
          <w:sz w:val="20"/>
          <w:szCs w:val="20"/>
          <w:lang w:val="en-US"/>
        </w:rPr>
        <w:t>CA TTC</w:t>
      </w:r>
      <w:r w:rsidRPr="00E05800">
        <w:rPr>
          <w:rFonts w:ascii="Calibri" w:hAnsi="Calibri"/>
          <w:color w:val="002060"/>
          <w:sz w:val="20"/>
          <w:szCs w:val="20"/>
          <w:lang w:val="en-US"/>
        </w:rPr>
        <w:t xml:space="preserve"> ..........</w:t>
      </w:r>
      <w:r w:rsidRPr="00E05800">
        <w:rPr>
          <w:rFonts w:ascii="Calibri" w:hAnsi="Calibri"/>
          <w:b/>
          <w:bCs/>
          <w:color w:val="002060"/>
          <w:sz w:val="20"/>
          <w:szCs w:val="20"/>
          <w:lang w:val="en-US"/>
        </w:rPr>
        <w:t>DSO</w:t>
      </w:r>
      <w:r w:rsidRPr="00E05800">
        <w:rPr>
          <w:rFonts w:ascii="Calibri" w:hAnsi="Calibri"/>
          <w:color w:val="002060"/>
          <w:sz w:val="20"/>
          <w:szCs w:val="20"/>
          <w:lang w:val="en-US"/>
        </w:rPr>
        <w:t xml:space="preserve"> ...........</w:t>
      </w:r>
      <w:r w:rsidRPr="00E05800">
        <w:rPr>
          <w:rFonts w:ascii="Calibri" w:hAnsi="Calibri"/>
          <w:b/>
          <w:bCs/>
          <w:color w:val="002060"/>
          <w:sz w:val="20"/>
          <w:szCs w:val="20"/>
          <w:lang w:val="en-US"/>
        </w:rPr>
        <w:t>ROLL-BACK</w:t>
      </w:r>
      <w:r w:rsidRPr="00E05800">
        <w:rPr>
          <w:rFonts w:ascii="Calibri" w:hAnsi="Calibri"/>
          <w:color w:val="002060"/>
          <w:sz w:val="20"/>
          <w:szCs w:val="20"/>
          <w:lang w:val="en-US"/>
        </w:rPr>
        <w:t xml:space="preserve"> </w:t>
      </w:r>
    </w:p>
    <w:p w:rsidR="00170DB9" w:rsidRDefault="000A357C" w:rsidP="00170DB9">
      <w:pPr>
        <w:spacing w:after="60"/>
        <w:jc w:val="both"/>
        <w:rPr>
          <w:rFonts w:ascii="Calibri" w:hAnsi="Calibri"/>
          <w:color w:val="002060"/>
          <w:sz w:val="20"/>
          <w:szCs w:val="20"/>
        </w:rPr>
      </w:pPr>
      <w:r w:rsidRPr="008335CB">
        <w:rPr>
          <w:rFonts w:ascii="Calibri" w:hAnsi="Calibri"/>
          <w:color w:val="002060"/>
          <w:sz w:val="20"/>
          <w:szCs w:val="20"/>
        </w:rPr>
        <w:t xml:space="preserve">.........Encours......................... /...................... /.......................1 000 </w:t>
      </w:r>
    </w:p>
    <w:p w:rsidR="00170DB9" w:rsidRDefault="000A357C" w:rsidP="00170DB9">
      <w:pPr>
        <w:spacing w:after="60"/>
        <w:jc w:val="both"/>
        <w:rPr>
          <w:rFonts w:ascii="Calibri" w:hAnsi="Calibri"/>
          <w:color w:val="002060"/>
          <w:sz w:val="20"/>
          <w:szCs w:val="20"/>
        </w:rPr>
      </w:pPr>
      <w:r w:rsidRPr="008335CB">
        <w:rPr>
          <w:rFonts w:ascii="Calibri" w:hAnsi="Calibri"/>
          <w:color w:val="002060"/>
          <w:sz w:val="20"/>
          <w:szCs w:val="20"/>
        </w:rPr>
        <w:t>.........Janvier........................600..............</w:t>
      </w:r>
      <w:r w:rsidR="00170DB9">
        <w:rPr>
          <w:rFonts w:ascii="Calibri" w:hAnsi="Calibri"/>
          <w:color w:val="002060"/>
          <w:sz w:val="20"/>
          <w:szCs w:val="20"/>
        </w:rPr>
        <w:t>....30/30......................</w:t>
      </w:r>
      <w:r w:rsidRPr="008335CB">
        <w:rPr>
          <w:rFonts w:ascii="Calibri" w:hAnsi="Calibri"/>
          <w:color w:val="002060"/>
          <w:sz w:val="20"/>
          <w:szCs w:val="20"/>
        </w:rPr>
        <w:t xml:space="preserve">400 </w:t>
      </w:r>
      <w:r w:rsidRPr="008335CB">
        <w:rPr>
          <w:rFonts w:ascii="Calibri" w:hAnsi="Calibri"/>
          <w:color w:val="002060"/>
          <w:sz w:val="20"/>
          <w:szCs w:val="20"/>
        </w:rPr>
        <w:br/>
        <w:t>.........Février........................280..................30/30......</w:t>
      </w:r>
      <w:r w:rsidR="00170DB9">
        <w:rPr>
          <w:rFonts w:ascii="Calibri" w:hAnsi="Calibri"/>
          <w:color w:val="002060"/>
          <w:sz w:val="20"/>
          <w:szCs w:val="20"/>
        </w:rPr>
        <w:t xml:space="preserve">................120 </w:t>
      </w:r>
      <w:r w:rsidR="00170DB9">
        <w:rPr>
          <w:rFonts w:ascii="Calibri" w:hAnsi="Calibri"/>
          <w:color w:val="002060"/>
          <w:sz w:val="20"/>
          <w:szCs w:val="20"/>
        </w:rPr>
        <w:br/>
        <w:t>.........</w:t>
      </w:r>
      <w:r w:rsidRPr="008335CB">
        <w:rPr>
          <w:rFonts w:ascii="Calibri" w:hAnsi="Calibri"/>
          <w:color w:val="002060"/>
          <w:sz w:val="20"/>
          <w:szCs w:val="20"/>
        </w:rPr>
        <w:t>Mars..........................</w:t>
      </w:r>
      <w:r w:rsidR="00170DB9">
        <w:rPr>
          <w:rFonts w:ascii="Calibri" w:hAnsi="Calibri"/>
          <w:color w:val="002060"/>
          <w:sz w:val="20"/>
          <w:szCs w:val="20"/>
        </w:rPr>
        <w:t>.</w:t>
      </w:r>
      <w:r w:rsidRPr="008335CB">
        <w:rPr>
          <w:rFonts w:ascii="Calibri" w:hAnsi="Calibri"/>
          <w:color w:val="002060"/>
          <w:sz w:val="20"/>
          <w:szCs w:val="20"/>
        </w:rPr>
        <w:t>330..................11/30..........................</w:t>
      </w:r>
      <w:r w:rsidR="00170DB9">
        <w:rPr>
          <w:rFonts w:ascii="Calibri" w:hAnsi="Calibri"/>
          <w:color w:val="002060"/>
          <w:sz w:val="20"/>
          <w:szCs w:val="20"/>
        </w:rPr>
        <w:t>0</w:t>
      </w:r>
      <w:r w:rsidRPr="008335CB">
        <w:rPr>
          <w:rFonts w:ascii="Calibri" w:hAnsi="Calibri"/>
          <w:color w:val="002060"/>
          <w:sz w:val="20"/>
          <w:szCs w:val="20"/>
        </w:rPr>
        <w:t xml:space="preserve"> </w:t>
      </w:r>
      <w:r w:rsidRPr="008335CB">
        <w:rPr>
          <w:rFonts w:ascii="Calibri" w:hAnsi="Calibri"/>
          <w:color w:val="002060"/>
          <w:sz w:val="20"/>
          <w:szCs w:val="20"/>
        </w:rPr>
        <w:br/>
        <w:t>......</w:t>
      </w:r>
      <w:r w:rsidR="00170DB9">
        <w:rPr>
          <w:rFonts w:ascii="Calibri" w:hAnsi="Calibri"/>
          <w:color w:val="002060"/>
          <w:sz w:val="20"/>
          <w:szCs w:val="20"/>
        </w:rPr>
        <w:t xml:space="preserve">   </w:t>
      </w:r>
      <w:r w:rsidRPr="008335CB">
        <w:rPr>
          <w:rFonts w:ascii="Calibri" w:hAnsi="Calibri"/>
          <w:b/>
          <w:bCs/>
          <w:color w:val="002060"/>
          <w:sz w:val="20"/>
          <w:szCs w:val="20"/>
        </w:rPr>
        <w:t>Totaux</w:t>
      </w:r>
      <w:r w:rsidRPr="008335CB">
        <w:rPr>
          <w:rFonts w:ascii="Calibri" w:hAnsi="Calibri"/>
          <w:color w:val="002060"/>
          <w:sz w:val="20"/>
          <w:szCs w:val="20"/>
        </w:rPr>
        <w:t xml:space="preserve"> ..........................................</w:t>
      </w:r>
      <w:r w:rsidRPr="008335CB">
        <w:rPr>
          <w:rFonts w:ascii="Calibri" w:hAnsi="Calibri"/>
          <w:b/>
          <w:bCs/>
          <w:color w:val="002060"/>
          <w:sz w:val="20"/>
          <w:szCs w:val="20"/>
        </w:rPr>
        <w:t>DSO = 71</w:t>
      </w:r>
      <w:r w:rsidRPr="008335CB">
        <w:rPr>
          <w:rFonts w:ascii="Calibri" w:hAnsi="Calibri"/>
          <w:color w:val="002060"/>
          <w:sz w:val="20"/>
          <w:szCs w:val="20"/>
        </w:rPr>
        <w:t xml:space="preserve"> </w:t>
      </w:r>
    </w:p>
    <w:p w:rsidR="00170DB9" w:rsidRDefault="000A357C" w:rsidP="00170DB9">
      <w:pPr>
        <w:spacing w:after="60"/>
        <w:jc w:val="both"/>
        <w:rPr>
          <w:rFonts w:ascii="Calibri" w:hAnsi="Calibri"/>
          <w:color w:val="002060"/>
          <w:sz w:val="20"/>
          <w:szCs w:val="20"/>
        </w:rPr>
      </w:pPr>
      <w:r w:rsidRPr="008335CB">
        <w:rPr>
          <w:rFonts w:ascii="Calibri" w:hAnsi="Calibri"/>
          <w:color w:val="002060"/>
          <w:sz w:val="20"/>
          <w:szCs w:val="20"/>
        </w:rPr>
        <w:t>Le chiffre de 30/30 est inscrit lorsque le CA du mois peut être déduit de l'encours, comme pour janvier et février ci-dessus.</w:t>
      </w:r>
    </w:p>
    <w:p w:rsidR="00170DB9" w:rsidRDefault="000A357C" w:rsidP="00170DB9">
      <w:pPr>
        <w:spacing w:after="60"/>
        <w:jc w:val="both"/>
        <w:rPr>
          <w:rFonts w:ascii="Calibri" w:hAnsi="Calibri"/>
          <w:color w:val="002060"/>
          <w:sz w:val="20"/>
          <w:szCs w:val="20"/>
        </w:rPr>
      </w:pPr>
      <w:r w:rsidRPr="008335CB">
        <w:rPr>
          <w:rFonts w:ascii="Calibri" w:hAnsi="Calibri"/>
          <w:color w:val="002060"/>
          <w:sz w:val="20"/>
          <w:szCs w:val="20"/>
        </w:rPr>
        <w:t>Calcul pour obtenir le chiffre de 11/30</w:t>
      </w:r>
      <w:r w:rsidR="00170DB9">
        <w:rPr>
          <w:rFonts w:ascii="Calibri" w:hAnsi="Calibri"/>
          <w:color w:val="002060"/>
          <w:sz w:val="20"/>
          <w:szCs w:val="20"/>
        </w:rPr>
        <w:t xml:space="preserve"> </w:t>
      </w:r>
      <w:r w:rsidRPr="008335CB">
        <w:rPr>
          <w:rFonts w:ascii="Calibri" w:hAnsi="Calibri"/>
          <w:color w:val="002060"/>
          <w:sz w:val="20"/>
          <w:szCs w:val="20"/>
        </w:rPr>
        <w:t xml:space="preserve">: </w:t>
      </w:r>
    </w:p>
    <w:p w:rsidR="00170DB9" w:rsidRDefault="000A357C" w:rsidP="00170DB9">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Chiffre d'affaires de mars / N</w:t>
      </w:r>
      <w:r w:rsidR="00E05800">
        <w:rPr>
          <w:rFonts w:ascii="Calibri" w:hAnsi="Calibri"/>
          <w:color w:val="002060"/>
          <w:sz w:val="20"/>
          <w:szCs w:val="20"/>
        </w:rPr>
        <w:t>om</w:t>
      </w:r>
      <w:r w:rsidRPr="008335CB">
        <w:rPr>
          <w:rFonts w:ascii="Calibri" w:hAnsi="Calibri"/>
          <w:color w:val="002060"/>
          <w:sz w:val="20"/>
          <w:szCs w:val="20"/>
        </w:rPr>
        <w:t>bre de jours</w:t>
      </w:r>
      <w:r w:rsidR="00170DB9">
        <w:rPr>
          <w:rFonts w:ascii="Calibri" w:hAnsi="Calibri"/>
          <w:color w:val="002060"/>
          <w:sz w:val="20"/>
          <w:szCs w:val="20"/>
        </w:rPr>
        <w:t> :</w:t>
      </w:r>
      <w:r w:rsidRPr="008335CB">
        <w:rPr>
          <w:rFonts w:ascii="Calibri" w:hAnsi="Calibri"/>
          <w:color w:val="002060"/>
          <w:sz w:val="20"/>
          <w:szCs w:val="20"/>
        </w:rPr>
        <w:t xml:space="preserve"> soit 330 / 30</w:t>
      </w:r>
      <w:r w:rsidR="00170DB9">
        <w:rPr>
          <w:rFonts w:ascii="Calibri" w:hAnsi="Calibri"/>
          <w:color w:val="002060"/>
          <w:sz w:val="20"/>
          <w:szCs w:val="20"/>
        </w:rPr>
        <w:t> :</w:t>
      </w:r>
      <w:r w:rsidRPr="008335CB">
        <w:rPr>
          <w:rFonts w:ascii="Calibri" w:hAnsi="Calibri"/>
          <w:color w:val="002060"/>
          <w:sz w:val="20"/>
          <w:szCs w:val="20"/>
        </w:rPr>
        <w:t xml:space="preserve"> soit un résultat de 11 </w:t>
      </w:r>
    </w:p>
    <w:p w:rsidR="00170DB9" w:rsidRDefault="000A357C" w:rsidP="00170DB9">
      <w:pPr>
        <w:numPr>
          <w:ilvl w:val="0"/>
          <w:numId w:val="1"/>
        </w:numPr>
        <w:spacing w:after="60"/>
        <w:ind w:left="340" w:hanging="170"/>
        <w:jc w:val="both"/>
        <w:rPr>
          <w:rFonts w:ascii="Calibri" w:hAnsi="Calibri"/>
          <w:color w:val="002060"/>
          <w:sz w:val="20"/>
          <w:szCs w:val="20"/>
        </w:rPr>
      </w:pPr>
      <w:r w:rsidRPr="008335CB">
        <w:rPr>
          <w:rFonts w:ascii="Calibri" w:hAnsi="Calibri"/>
          <w:color w:val="002060"/>
          <w:sz w:val="20"/>
          <w:szCs w:val="20"/>
        </w:rPr>
        <w:t xml:space="preserve">puis (encours fin janvier) - (CA cumulé janvier et février) soit 1 000 - 880 = 120 </w:t>
      </w:r>
    </w:p>
    <w:p w:rsidR="00170DB9" w:rsidRDefault="00170DB9" w:rsidP="00170DB9">
      <w:pPr>
        <w:spacing w:after="60"/>
        <w:ind w:left="340" w:hanging="170"/>
        <w:jc w:val="both"/>
        <w:rPr>
          <w:rFonts w:ascii="Calibri" w:hAnsi="Calibri"/>
          <w:color w:val="002060"/>
          <w:sz w:val="20"/>
          <w:szCs w:val="20"/>
        </w:rPr>
      </w:pPr>
      <w:r>
        <w:rPr>
          <w:rFonts w:ascii="Calibri" w:hAnsi="Calibri"/>
          <w:color w:val="002060"/>
          <w:sz w:val="20"/>
          <w:szCs w:val="20"/>
        </w:rPr>
        <w:t>-</w:t>
      </w:r>
      <w:r>
        <w:rPr>
          <w:rFonts w:ascii="Calibri" w:hAnsi="Calibri"/>
          <w:color w:val="002060"/>
          <w:sz w:val="20"/>
          <w:szCs w:val="20"/>
        </w:rPr>
        <w:tab/>
      </w:r>
      <w:r w:rsidR="000A357C" w:rsidRPr="008335CB">
        <w:rPr>
          <w:rFonts w:ascii="Calibri" w:hAnsi="Calibri"/>
          <w:color w:val="002060"/>
          <w:sz w:val="20"/>
          <w:szCs w:val="20"/>
        </w:rPr>
        <w:t xml:space="preserve">puis diviser 120 par 11 : vous obtenez 11 (après arrondi) </w:t>
      </w:r>
    </w:p>
    <w:p w:rsidR="00170DB9" w:rsidRDefault="000A357C" w:rsidP="00170DB9">
      <w:pPr>
        <w:spacing w:after="60"/>
        <w:jc w:val="both"/>
        <w:rPr>
          <w:rFonts w:ascii="Calibri" w:hAnsi="Calibri"/>
          <w:color w:val="002060"/>
          <w:sz w:val="20"/>
          <w:szCs w:val="20"/>
        </w:rPr>
      </w:pPr>
      <w:r w:rsidRPr="008335CB">
        <w:rPr>
          <w:rFonts w:ascii="Calibri" w:hAnsi="Calibri"/>
          <w:color w:val="002060"/>
          <w:sz w:val="20"/>
          <w:szCs w:val="20"/>
        </w:rPr>
        <w:t xml:space="preserve">Avantage de la méthode « count back » : tient compte de la saisonnalité de l'entreprise. </w:t>
      </w:r>
    </w:p>
    <w:p w:rsidR="00170DB9" w:rsidRDefault="000A357C" w:rsidP="00170DB9">
      <w:pPr>
        <w:spacing w:after="120"/>
        <w:jc w:val="both"/>
        <w:rPr>
          <w:rFonts w:ascii="Calibri" w:hAnsi="Calibri"/>
          <w:color w:val="002060"/>
          <w:sz w:val="20"/>
          <w:szCs w:val="20"/>
        </w:rPr>
      </w:pPr>
      <w:r w:rsidRPr="008335CB">
        <w:rPr>
          <w:rFonts w:ascii="Calibri" w:hAnsi="Calibri"/>
          <w:color w:val="002060"/>
          <w:sz w:val="20"/>
          <w:szCs w:val="20"/>
        </w:rPr>
        <w:t>Inconvénients de la méthode « count back » : ne fait pas de distinction entre encours courant et encours exigible</w:t>
      </w:r>
      <w:r w:rsidR="00170DB9">
        <w:rPr>
          <w:rFonts w:ascii="Calibri" w:hAnsi="Calibri"/>
          <w:color w:val="002060"/>
          <w:sz w:val="20"/>
          <w:szCs w:val="20"/>
        </w:rPr>
        <w:t>.</w:t>
      </w:r>
    </w:p>
    <w:p w:rsidR="007976E3" w:rsidRPr="008469E4" w:rsidRDefault="00170DB9" w:rsidP="00170DB9">
      <w:pPr>
        <w:spacing w:after="60"/>
        <w:jc w:val="both"/>
        <w:rPr>
          <w:rFonts w:ascii="Calibri" w:hAnsi="Calibri"/>
          <w:color w:val="002060"/>
          <w:sz w:val="21"/>
          <w:szCs w:val="21"/>
        </w:rPr>
      </w:pPr>
      <w:bookmarkStart w:id="0" w:name="_GoBack"/>
      <w:r w:rsidRPr="008469E4">
        <w:rPr>
          <w:rFonts w:ascii="Calibri" w:hAnsi="Calibri"/>
          <w:b/>
          <w:color w:val="002060"/>
          <w:sz w:val="21"/>
          <w:szCs w:val="21"/>
        </w:rPr>
        <w:t>Conclusions</w:t>
      </w:r>
    </w:p>
    <w:bookmarkEnd w:id="0"/>
    <w:p w:rsidR="008335CB" w:rsidRDefault="000A357C" w:rsidP="00170DB9">
      <w:pPr>
        <w:spacing w:after="60"/>
        <w:jc w:val="both"/>
        <w:rPr>
          <w:rFonts w:ascii="Calibri" w:hAnsi="Calibri"/>
          <w:color w:val="002060"/>
          <w:sz w:val="20"/>
          <w:szCs w:val="20"/>
        </w:rPr>
      </w:pPr>
      <w:r w:rsidRPr="008335CB">
        <w:rPr>
          <w:rFonts w:ascii="Calibri" w:hAnsi="Calibri"/>
          <w:color w:val="002060"/>
          <w:sz w:val="20"/>
          <w:szCs w:val="20"/>
        </w:rPr>
        <w:t xml:space="preserve">Il existe de nombreuses méthodes de calcul de DSO à la disposition des entreprises, certaines étant plus complexes et plus précises que d'autres, cependant aucune d'entre elles ne peut se positionner en tant que méthode universelle pour le calcul du nombre de jours de crédit accordé aux clients. </w:t>
      </w:r>
    </w:p>
    <w:p w:rsidR="004E433D" w:rsidRDefault="000A357C" w:rsidP="00170DB9">
      <w:pPr>
        <w:spacing w:after="60"/>
        <w:jc w:val="both"/>
        <w:rPr>
          <w:rFonts w:ascii="Calibri" w:hAnsi="Calibri"/>
          <w:color w:val="002060"/>
          <w:sz w:val="20"/>
          <w:szCs w:val="20"/>
        </w:rPr>
      </w:pPr>
      <w:r w:rsidRPr="008335CB">
        <w:rPr>
          <w:rFonts w:ascii="Calibri" w:hAnsi="Calibri"/>
          <w:color w:val="002060"/>
          <w:sz w:val="20"/>
          <w:szCs w:val="20"/>
        </w:rPr>
        <w:t>Le choix d'une méthode ou d'un "mix" de plusieurs méthodes est le fruit de l'expérience de chaque entreprise, chacune d'entre elles étant unique (activité, produits, clientèle, méthodes de recouvrement amiable, etc…).</w:t>
      </w:r>
    </w:p>
    <w:p w:rsidR="000A357C" w:rsidRDefault="000A357C" w:rsidP="008335CB">
      <w:pPr>
        <w:spacing w:before="120" w:after="120"/>
        <w:jc w:val="both"/>
        <w:rPr>
          <w:rFonts w:ascii="Calibri" w:hAnsi="Calibri"/>
          <w:color w:val="002060"/>
          <w:sz w:val="20"/>
          <w:szCs w:val="20"/>
        </w:rPr>
      </w:pPr>
      <w:r w:rsidRPr="008335CB">
        <w:rPr>
          <w:rFonts w:ascii="Calibri" w:hAnsi="Calibri"/>
          <w:color w:val="002060"/>
          <w:sz w:val="20"/>
          <w:szCs w:val="20"/>
        </w:rPr>
        <w:t xml:space="preserve">Pour diminuer le DSO, l'amélioration des performances de recouvrement amiable et de gestion des litiges n'est pas suffisante, l'entreprise doit également surveiller, entre autres, les dérogations de paiement autorisées par les services commerciaux et les dysfonctionnements internes ou externes (livraison, SAV, </w:t>
      </w:r>
      <w:proofErr w:type="spellStart"/>
      <w:r w:rsidRPr="008335CB">
        <w:rPr>
          <w:rFonts w:ascii="Calibri" w:hAnsi="Calibri"/>
          <w:color w:val="002060"/>
          <w:sz w:val="20"/>
          <w:szCs w:val="20"/>
        </w:rPr>
        <w:t>etc</w:t>
      </w:r>
      <w:proofErr w:type="spellEnd"/>
      <w:r w:rsidRPr="008335CB">
        <w:rPr>
          <w:rFonts w:ascii="Calibri" w:hAnsi="Calibri"/>
          <w:color w:val="002060"/>
          <w:sz w:val="20"/>
          <w:szCs w:val="20"/>
        </w:rPr>
        <w:t xml:space="preserve">) sources de réclamations et de litiges. </w:t>
      </w:r>
    </w:p>
    <w:p w:rsidR="00275C8C" w:rsidRDefault="00275C8C" w:rsidP="008335CB">
      <w:pPr>
        <w:spacing w:before="120" w:after="120"/>
        <w:jc w:val="both"/>
        <w:rPr>
          <w:rFonts w:ascii="Calibri" w:hAnsi="Calibri"/>
          <w:color w:val="002060"/>
          <w:sz w:val="20"/>
          <w:szCs w:val="20"/>
        </w:rPr>
      </w:pPr>
    </w:p>
    <w:p w:rsidR="00275C8C" w:rsidRPr="008335CB" w:rsidRDefault="00275C8C" w:rsidP="008335CB">
      <w:pPr>
        <w:spacing w:before="120" w:after="120"/>
        <w:jc w:val="both"/>
        <w:rPr>
          <w:rFonts w:ascii="Calibri" w:hAnsi="Calibri"/>
          <w:color w:val="002060"/>
          <w:sz w:val="20"/>
          <w:szCs w:val="20"/>
        </w:rPr>
      </w:pPr>
    </w:p>
    <w:p w:rsidR="00822DCB" w:rsidRPr="005A042C" w:rsidRDefault="00822DCB">
      <w:pPr>
        <w:rPr>
          <w:sz w:val="22"/>
          <w:szCs w:val="22"/>
        </w:rPr>
      </w:pPr>
    </w:p>
    <w:sectPr w:rsidR="00822DCB" w:rsidRPr="005A042C" w:rsidSect="004E433D">
      <w:pgSz w:w="11906" w:h="16838" w:code="9"/>
      <w:pgMar w:top="737" w:right="851" w:bottom="737"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66FB"/>
    <w:multiLevelType w:val="hybridMultilevel"/>
    <w:tmpl w:val="28C21E8C"/>
    <w:lvl w:ilvl="0" w:tplc="9364F922">
      <w:start w:val="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12094D"/>
    <w:multiLevelType w:val="hybridMultilevel"/>
    <w:tmpl w:val="43FA565E"/>
    <w:lvl w:ilvl="0" w:tplc="4A82B042">
      <w:start w:val="1"/>
      <w:numFmt w:val="bullet"/>
      <w:lvlText w:val=""/>
      <w:lvlJc w:val="left"/>
      <w:pPr>
        <w:ind w:left="720" w:hanging="360"/>
      </w:pPr>
      <w:rPr>
        <w:rFonts w:ascii="Symbol" w:eastAsia="Times New Roman" w:hAnsi="Symbol" w:cs="Times New Roman"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57C"/>
    <w:rsid w:val="00053675"/>
    <w:rsid w:val="000A357C"/>
    <w:rsid w:val="00106D63"/>
    <w:rsid w:val="00170DB9"/>
    <w:rsid w:val="00275C8C"/>
    <w:rsid w:val="00353860"/>
    <w:rsid w:val="004A3C11"/>
    <w:rsid w:val="004E433D"/>
    <w:rsid w:val="0052667B"/>
    <w:rsid w:val="005A042C"/>
    <w:rsid w:val="00751170"/>
    <w:rsid w:val="007976E3"/>
    <w:rsid w:val="007D3E5E"/>
    <w:rsid w:val="008063FE"/>
    <w:rsid w:val="00822DCB"/>
    <w:rsid w:val="008335CB"/>
    <w:rsid w:val="008469E4"/>
    <w:rsid w:val="00A11EAE"/>
    <w:rsid w:val="00AD58E8"/>
    <w:rsid w:val="00B603AD"/>
    <w:rsid w:val="00BB5A31"/>
    <w:rsid w:val="00C069D1"/>
    <w:rsid w:val="00C80980"/>
    <w:rsid w:val="00D17368"/>
    <w:rsid w:val="00D5215D"/>
    <w:rsid w:val="00DE0BB1"/>
    <w:rsid w:val="00E05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7C681B5-36B0-4233-87D8-19F43781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2">
    <w:name w:val="heading 2"/>
    <w:basedOn w:val="Normal"/>
    <w:qFormat/>
    <w:rsid w:val="000A357C"/>
    <w:pPr>
      <w:spacing w:before="100" w:beforeAutospacing="1" w:after="100" w:afterAutospacing="1"/>
      <w:outlineLvl w:val="1"/>
    </w:pPr>
    <w:rPr>
      <w:b/>
      <w:bCs/>
      <w:sz w:val="36"/>
      <w:szCs w:val="36"/>
    </w:rPr>
  </w:style>
  <w:style w:type="paragraph" w:styleId="Titre3">
    <w:name w:val="heading 3"/>
    <w:basedOn w:val="Normal"/>
    <w:qFormat/>
    <w:rsid w:val="000A357C"/>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Normal"/>
    <w:rsid w:val="00822DCB"/>
    <w:pPr>
      <w:jc w:val="both"/>
    </w:pPr>
    <w:rPr>
      <w:b/>
      <w:i/>
      <w:sz w:val="26"/>
      <w:szCs w:val="26"/>
    </w:rPr>
  </w:style>
  <w:style w:type="character" w:customStyle="1" w:styleId="fluocyan1">
    <w:name w:val="fluo_cyan1"/>
    <w:rsid w:val="000A357C"/>
    <w:rPr>
      <w:shd w:val="clear" w:color="auto" w:fill="02EDDF"/>
    </w:rPr>
  </w:style>
  <w:style w:type="character" w:customStyle="1" w:styleId="u1">
    <w:name w:val="u1"/>
    <w:rsid w:val="000A357C"/>
    <w:rPr>
      <w:u w:val="single"/>
    </w:rPr>
  </w:style>
  <w:style w:type="character" w:customStyle="1" w:styleId="fluorose1">
    <w:name w:val="fluo_rose1"/>
    <w:rsid w:val="000A357C"/>
    <w:rPr>
      <w:shd w:val="clear" w:color="auto" w:fill="FC00B8"/>
    </w:rPr>
  </w:style>
  <w:style w:type="paragraph" w:styleId="Textedebulles">
    <w:name w:val="Balloon Text"/>
    <w:basedOn w:val="Normal"/>
    <w:semiHidden/>
    <w:rsid w:val="00D5215D"/>
    <w:rPr>
      <w:rFonts w:ascii="Tahoma" w:hAnsi="Tahoma" w:cs="Tahoma"/>
      <w:sz w:val="16"/>
      <w:szCs w:val="16"/>
    </w:rPr>
  </w:style>
  <w:style w:type="table" w:styleId="Grilledutableau">
    <w:name w:val="Table Grid"/>
    <w:basedOn w:val="TableauNormal"/>
    <w:rsid w:val="0075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90969">
      <w:bodyDiv w:val="1"/>
      <w:marLeft w:val="0"/>
      <w:marRight w:val="0"/>
      <w:marTop w:val="0"/>
      <w:marBottom w:val="0"/>
      <w:divBdr>
        <w:top w:val="none" w:sz="0" w:space="0" w:color="auto"/>
        <w:left w:val="none" w:sz="0" w:space="0" w:color="auto"/>
        <w:bottom w:val="none" w:sz="0" w:space="0" w:color="auto"/>
        <w:right w:val="none" w:sz="0" w:space="0" w:color="auto"/>
      </w:divBdr>
      <w:divsChild>
        <w:div w:id="1175998773">
          <w:marLeft w:val="0"/>
          <w:marRight w:val="0"/>
          <w:marTop w:val="0"/>
          <w:marBottom w:val="0"/>
          <w:divBdr>
            <w:top w:val="none" w:sz="0" w:space="0" w:color="auto"/>
            <w:left w:val="none" w:sz="0" w:space="0" w:color="auto"/>
            <w:bottom w:val="none" w:sz="0" w:space="0" w:color="auto"/>
            <w:right w:val="none" w:sz="0" w:space="0" w:color="auto"/>
          </w:divBdr>
          <w:divsChild>
            <w:div w:id="502089434">
              <w:marLeft w:val="0"/>
              <w:marRight w:val="0"/>
              <w:marTop w:val="0"/>
              <w:marBottom w:val="0"/>
              <w:divBdr>
                <w:top w:val="none" w:sz="0" w:space="0" w:color="auto"/>
                <w:left w:val="none" w:sz="0" w:space="0" w:color="auto"/>
                <w:bottom w:val="none" w:sz="0" w:space="0" w:color="auto"/>
                <w:right w:val="none" w:sz="0" w:space="0" w:color="auto"/>
              </w:divBdr>
              <w:divsChild>
                <w:div w:id="744768627">
                  <w:marLeft w:val="0"/>
                  <w:marRight w:val="0"/>
                  <w:marTop w:val="0"/>
                  <w:marBottom w:val="0"/>
                  <w:divBdr>
                    <w:top w:val="none" w:sz="0" w:space="0" w:color="auto"/>
                    <w:left w:val="none" w:sz="0" w:space="0" w:color="auto"/>
                    <w:bottom w:val="none" w:sz="0" w:space="0" w:color="auto"/>
                    <w:right w:val="none" w:sz="0" w:space="0" w:color="auto"/>
                  </w:divBdr>
                  <w:divsChild>
                    <w:div w:id="6104855">
                      <w:marLeft w:val="0"/>
                      <w:marRight w:val="0"/>
                      <w:marTop w:val="0"/>
                      <w:marBottom w:val="0"/>
                      <w:divBdr>
                        <w:top w:val="none" w:sz="0" w:space="0" w:color="auto"/>
                        <w:left w:val="none" w:sz="0" w:space="0" w:color="auto"/>
                        <w:bottom w:val="none" w:sz="0" w:space="0" w:color="auto"/>
                        <w:right w:val="none" w:sz="0" w:space="0" w:color="auto"/>
                      </w:divBdr>
                      <w:divsChild>
                        <w:div w:id="1759598164">
                          <w:marLeft w:val="0"/>
                          <w:marRight w:val="0"/>
                          <w:marTop w:val="0"/>
                          <w:marBottom w:val="0"/>
                          <w:divBdr>
                            <w:top w:val="none" w:sz="0" w:space="0" w:color="auto"/>
                            <w:left w:val="none" w:sz="0" w:space="0" w:color="auto"/>
                            <w:bottom w:val="none" w:sz="0" w:space="0" w:color="auto"/>
                            <w:right w:val="none" w:sz="0" w:space="0" w:color="auto"/>
                          </w:divBdr>
                          <w:divsChild>
                            <w:div w:id="486361349">
                              <w:marLeft w:val="0"/>
                              <w:marRight w:val="0"/>
                              <w:marTop w:val="0"/>
                              <w:marBottom w:val="0"/>
                              <w:divBdr>
                                <w:top w:val="none" w:sz="0" w:space="0" w:color="auto"/>
                                <w:left w:val="none" w:sz="0" w:space="0" w:color="auto"/>
                                <w:bottom w:val="none" w:sz="0" w:space="0" w:color="auto"/>
                                <w:right w:val="none" w:sz="0" w:space="0" w:color="auto"/>
                              </w:divBdr>
                              <w:divsChild>
                                <w:div w:id="1531383349">
                                  <w:marLeft w:val="0"/>
                                  <w:marRight w:val="0"/>
                                  <w:marTop w:val="0"/>
                                  <w:marBottom w:val="0"/>
                                  <w:divBdr>
                                    <w:top w:val="none" w:sz="0" w:space="0" w:color="auto"/>
                                    <w:left w:val="none" w:sz="0" w:space="0" w:color="auto"/>
                                    <w:bottom w:val="none" w:sz="0" w:space="0" w:color="auto"/>
                                    <w:right w:val="none" w:sz="0" w:space="0" w:color="auto"/>
                                  </w:divBdr>
                                </w:div>
                                <w:div w:id="16980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1376</Words>
  <Characters>6961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Définition et calcul du DSO (Days Sales Outstanding), composante du BFR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Définition et calcul du DSO (Days Sales Outstanding), composante du BFR</dc:title>
  <dc:subject/>
  <dc:creator>sokoa</dc:creator>
  <cp:keywords/>
  <dc:description/>
  <cp:lastModifiedBy>Utilisateur Windows</cp:lastModifiedBy>
  <cp:revision>10</cp:revision>
  <cp:lastPrinted>2010-10-28T15:58:00Z</cp:lastPrinted>
  <dcterms:created xsi:type="dcterms:W3CDTF">2017-12-08T15:52:00Z</dcterms:created>
  <dcterms:modified xsi:type="dcterms:W3CDTF">2019-09-04T12:47:00Z</dcterms:modified>
</cp:coreProperties>
</file>