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87" w:rsidRPr="00B92B60" w:rsidRDefault="00B23687" w:rsidP="00040DA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line="240" w:lineRule="auto"/>
        <w:jc w:val="center"/>
        <w:outlineLvl w:val="0"/>
        <w:rPr>
          <w:rFonts w:ascii="Calibri" w:eastAsia="Times New Roman" w:hAnsi="Calibri" w:cs="Times New Roman"/>
          <w:b/>
          <w:bCs/>
          <w:color w:val="FFFFFF" w:themeColor="background1"/>
          <w:kern w:val="36"/>
          <w:sz w:val="24"/>
          <w:szCs w:val="26"/>
          <w:lang w:eastAsia="fr-FR"/>
        </w:rPr>
      </w:pPr>
      <w:r w:rsidRPr="00B92B60">
        <w:rPr>
          <w:rFonts w:ascii="Calibri" w:eastAsia="Times New Roman" w:hAnsi="Calibri" w:cs="Times New Roman"/>
          <w:b/>
          <w:bCs/>
          <w:color w:val="FFFFFF" w:themeColor="background1"/>
          <w:kern w:val="36"/>
          <w:sz w:val="24"/>
          <w:szCs w:val="26"/>
          <w:lang w:eastAsia="fr-FR"/>
        </w:rPr>
        <w:t>Capitaux propres</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Les </w:t>
      </w:r>
      <w:r w:rsidRPr="003641DC">
        <w:rPr>
          <w:rFonts w:ascii="Calibri" w:eastAsia="Times New Roman" w:hAnsi="Calibri" w:cs="Times New Roman"/>
          <w:b/>
          <w:bCs/>
          <w:color w:val="002060"/>
          <w:sz w:val="20"/>
          <w:szCs w:val="24"/>
          <w:lang w:eastAsia="fr-FR"/>
        </w:rPr>
        <w:t>capitaux propres</w:t>
      </w:r>
      <w:r w:rsidRPr="003641DC">
        <w:rPr>
          <w:rFonts w:ascii="Calibri" w:eastAsia="Times New Roman" w:hAnsi="Calibri" w:cs="Times New Roman"/>
          <w:color w:val="002060"/>
          <w:sz w:val="20"/>
          <w:szCs w:val="24"/>
          <w:lang w:eastAsia="fr-FR"/>
        </w:rPr>
        <w:t xml:space="preserve">, aussi appelés </w:t>
      </w:r>
      <w:r w:rsidRPr="00040DA4">
        <w:rPr>
          <w:rFonts w:ascii="Calibri" w:eastAsia="Times New Roman" w:hAnsi="Calibri" w:cs="Times New Roman"/>
          <w:b/>
          <w:bCs/>
          <w:color w:val="0000CC"/>
          <w:sz w:val="20"/>
          <w:szCs w:val="24"/>
          <w:lang w:eastAsia="fr-FR"/>
        </w:rPr>
        <w:t>fonds propres</w:t>
      </w:r>
      <w:r w:rsidRPr="003641DC">
        <w:rPr>
          <w:rFonts w:ascii="Calibri" w:eastAsia="Times New Roman" w:hAnsi="Calibri" w:cs="Times New Roman"/>
          <w:color w:val="002060"/>
          <w:sz w:val="20"/>
          <w:szCs w:val="24"/>
          <w:lang w:eastAsia="fr-FR"/>
        </w:rPr>
        <w:t>, regroupent les capitaux de départ, la réserve (correspondant aux bénéfices qui n'ont pas été redistribués en dividende), et le résultat de l'exercice.</w:t>
      </w:r>
    </w:p>
    <w:p w:rsidR="00B23687" w:rsidRPr="00B92B60" w:rsidRDefault="00B23687" w:rsidP="00040DA4">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Quelques principes</w:t>
      </w:r>
    </w:p>
    <w:p w:rsidR="00B23687" w:rsidRPr="003641DC" w:rsidRDefault="00B23687" w:rsidP="00040DA4">
      <w:pPr>
        <w:numPr>
          <w:ilvl w:val="0"/>
          <w:numId w:val="2"/>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Plus les capitaux propres sont élevés, plus le risque de faillite est faible et </w:t>
      </w:r>
      <w:hyperlink r:id="rId6" w:anchor="Les_entreprises_cot.C3.A9es_r.C3.A9duisent_leurs_capitaux_propres" w:tooltip="Histoire des bourses de valeurs" w:history="1">
        <w:r w:rsidRPr="003641DC">
          <w:rPr>
            <w:rFonts w:ascii="Calibri" w:eastAsia="Times New Roman" w:hAnsi="Calibri" w:cs="Times New Roman"/>
            <w:color w:val="002060"/>
            <w:sz w:val="20"/>
            <w:szCs w:val="24"/>
            <w:lang w:eastAsia="fr-FR"/>
          </w:rPr>
          <w:t>l'espérance de vie de la société élevée</w:t>
        </w:r>
      </w:hyperlink>
      <w:r w:rsidRPr="003641DC">
        <w:rPr>
          <w:rFonts w:ascii="Calibri" w:eastAsia="Times New Roman" w:hAnsi="Calibri" w:cs="Times New Roman"/>
          <w:color w:val="002060"/>
          <w:sz w:val="20"/>
          <w:szCs w:val="24"/>
          <w:lang w:eastAsia="fr-FR"/>
        </w:rPr>
        <w:t>.</w:t>
      </w:r>
    </w:p>
    <w:p w:rsidR="00B23687" w:rsidRPr="003641DC" w:rsidRDefault="00B23687" w:rsidP="00040DA4">
      <w:pPr>
        <w:numPr>
          <w:ilvl w:val="0"/>
          <w:numId w:val="2"/>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Si l'entreprise a des </w:t>
      </w:r>
      <w:hyperlink r:id="rId7" w:tooltip="Actionnaire" w:history="1">
        <w:r w:rsidRPr="003641DC">
          <w:rPr>
            <w:rFonts w:ascii="Calibri" w:eastAsia="Times New Roman" w:hAnsi="Calibri" w:cs="Times New Roman"/>
            <w:color w:val="002060"/>
            <w:sz w:val="20"/>
            <w:szCs w:val="24"/>
            <w:lang w:eastAsia="fr-FR"/>
          </w:rPr>
          <w:t>actionnaires</w:t>
        </w:r>
      </w:hyperlink>
      <w:r w:rsidRPr="003641DC">
        <w:rPr>
          <w:rFonts w:ascii="Calibri" w:eastAsia="Times New Roman" w:hAnsi="Calibri" w:cs="Times New Roman"/>
          <w:color w:val="002060"/>
          <w:sz w:val="20"/>
          <w:szCs w:val="24"/>
          <w:lang w:eastAsia="fr-FR"/>
        </w:rPr>
        <w:t>, ses capitaux propres sont augmentés de l'argent apporté ou laissé par ses actionnaires, qui sert à investir (innover, acheter des terrains, des bâtiments, etc.) ou à se désendetter. L'</w:t>
      </w:r>
      <w:hyperlink r:id="rId8" w:tooltip="Argent" w:history="1">
        <w:r w:rsidRPr="003641DC">
          <w:rPr>
            <w:rFonts w:ascii="Calibri" w:eastAsia="Times New Roman" w:hAnsi="Calibri" w:cs="Times New Roman"/>
            <w:color w:val="002060"/>
            <w:sz w:val="20"/>
            <w:szCs w:val="24"/>
            <w:lang w:eastAsia="fr-FR"/>
          </w:rPr>
          <w:t>argent</w:t>
        </w:r>
      </w:hyperlink>
      <w:r w:rsidRPr="003641DC">
        <w:rPr>
          <w:rFonts w:ascii="Calibri" w:eastAsia="Times New Roman" w:hAnsi="Calibri" w:cs="Times New Roman"/>
          <w:color w:val="002060"/>
          <w:sz w:val="20"/>
          <w:szCs w:val="24"/>
          <w:lang w:eastAsia="fr-FR"/>
        </w:rPr>
        <w:t xml:space="preserve">, « mis au pot » lors de la création de l'entreprise ou, plus tard, lors d'une </w:t>
      </w:r>
      <w:hyperlink r:id="rId9" w:tooltip="Augmentation de capital" w:history="1">
        <w:r w:rsidRPr="003641DC">
          <w:rPr>
            <w:rFonts w:ascii="Calibri" w:eastAsia="Times New Roman" w:hAnsi="Calibri" w:cs="Times New Roman"/>
            <w:color w:val="002060"/>
            <w:sz w:val="20"/>
            <w:szCs w:val="24"/>
            <w:lang w:eastAsia="fr-FR"/>
          </w:rPr>
          <w:t>augmentation de capital</w:t>
        </w:r>
      </w:hyperlink>
      <w:r w:rsidRPr="003641DC">
        <w:rPr>
          <w:rFonts w:ascii="Calibri" w:eastAsia="Times New Roman" w:hAnsi="Calibri" w:cs="Times New Roman"/>
          <w:color w:val="002060"/>
          <w:sz w:val="20"/>
          <w:szCs w:val="24"/>
          <w:lang w:eastAsia="fr-FR"/>
        </w:rPr>
        <w:t>, contribue aux capitaux propres.</w:t>
      </w:r>
    </w:p>
    <w:p w:rsidR="00B23687" w:rsidRPr="003641DC" w:rsidRDefault="00B23687" w:rsidP="00040DA4">
      <w:pPr>
        <w:numPr>
          <w:ilvl w:val="0"/>
          <w:numId w:val="2"/>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Les actionnaires peuvent aussi augmenter les capitaux propres au fil du temps, progressivement, en acceptant la </w:t>
      </w:r>
      <w:hyperlink r:id="rId10" w:tooltip="Mise en réserve" w:history="1">
        <w:r w:rsidRPr="003641DC">
          <w:rPr>
            <w:rFonts w:ascii="Calibri" w:eastAsia="Times New Roman" w:hAnsi="Calibri" w:cs="Times New Roman"/>
            <w:color w:val="002060"/>
            <w:sz w:val="20"/>
            <w:szCs w:val="24"/>
            <w:lang w:eastAsia="fr-FR"/>
          </w:rPr>
          <w:t>mise en réserve</w:t>
        </w:r>
      </w:hyperlink>
      <w:r w:rsidRPr="003641DC">
        <w:rPr>
          <w:rFonts w:ascii="Calibri" w:eastAsia="Times New Roman" w:hAnsi="Calibri" w:cs="Times New Roman"/>
          <w:color w:val="002060"/>
          <w:sz w:val="20"/>
          <w:szCs w:val="24"/>
          <w:lang w:eastAsia="fr-FR"/>
        </w:rPr>
        <w:t xml:space="preserve"> d'une partie des </w:t>
      </w:r>
      <w:hyperlink r:id="rId11" w:tooltip="Bénéfice" w:history="1">
        <w:r w:rsidRPr="003641DC">
          <w:rPr>
            <w:rFonts w:ascii="Calibri" w:eastAsia="Times New Roman" w:hAnsi="Calibri" w:cs="Times New Roman"/>
            <w:color w:val="002060"/>
            <w:sz w:val="20"/>
            <w:szCs w:val="24"/>
            <w:lang w:eastAsia="fr-FR"/>
          </w:rPr>
          <w:t>bénéfices</w:t>
        </w:r>
      </w:hyperlink>
      <w:r w:rsidRPr="003641DC">
        <w:rPr>
          <w:rFonts w:ascii="Calibri" w:eastAsia="Times New Roman" w:hAnsi="Calibri" w:cs="Times New Roman"/>
          <w:color w:val="002060"/>
          <w:sz w:val="20"/>
          <w:szCs w:val="24"/>
          <w:lang w:eastAsia="fr-FR"/>
        </w:rPr>
        <w:t xml:space="preserve">, plutôt que de les distribuer sous forme de </w:t>
      </w:r>
      <w:hyperlink r:id="rId12" w:tooltip="Dividende" w:history="1">
        <w:r w:rsidRPr="003641DC">
          <w:rPr>
            <w:rFonts w:ascii="Calibri" w:eastAsia="Times New Roman" w:hAnsi="Calibri" w:cs="Times New Roman"/>
            <w:color w:val="002060"/>
            <w:sz w:val="20"/>
            <w:szCs w:val="24"/>
            <w:lang w:eastAsia="fr-FR"/>
          </w:rPr>
          <w:t>dividendes</w:t>
        </w:r>
      </w:hyperlink>
      <w:r w:rsidRPr="003641DC">
        <w:rPr>
          <w:rFonts w:ascii="Calibri" w:eastAsia="Times New Roman" w:hAnsi="Calibri" w:cs="Times New Roman"/>
          <w:color w:val="002060"/>
          <w:sz w:val="20"/>
          <w:szCs w:val="24"/>
          <w:lang w:eastAsia="fr-FR"/>
        </w:rPr>
        <w:t>. C'est souvent le cas des entreprises en forte croissance : les actionnaires ont confiance et préfèrent que l'entreprise investisse pour capter les nouveaux marchés. La part du bénéfice de l'entreprise restant après versement des dividendes vient s'ajouter aux capitaux propres.</w:t>
      </w:r>
    </w:p>
    <w:p w:rsidR="00B23687" w:rsidRPr="003641DC" w:rsidRDefault="00B23687" w:rsidP="00040DA4">
      <w:pPr>
        <w:numPr>
          <w:ilvl w:val="0"/>
          <w:numId w:val="2"/>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Une autre manière de rémunérer les actionnaires est, pour l'entreprise, de racheter ses propres actions. Celles-ci peuvent alors être détruites ; les capitaux propres sont alors diminués d'autant. C'est le mécanisme inverse d'une augmentation de capital.</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La </w:t>
      </w:r>
      <w:hyperlink r:id="rId13" w:tooltip="Situation nette" w:history="1">
        <w:r w:rsidRPr="003641DC">
          <w:rPr>
            <w:rFonts w:ascii="Calibri" w:eastAsia="Times New Roman" w:hAnsi="Calibri" w:cs="Times New Roman"/>
            <w:color w:val="002060"/>
            <w:sz w:val="20"/>
            <w:szCs w:val="24"/>
            <w:lang w:eastAsia="fr-FR"/>
          </w:rPr>
          <w:t>situation nette</w:t>
        </w:r>
      </w:hyperlink>
      <w:r w:rsidRPr="003641DC">
        <w:rPr>
          <w:rFonts w:ascii="Calibri" w:eastAsia="Times New Roman" w:hAnsi="Calibri" w:cs="Times New Roman"/>
          <w:color w:val="002060"/>
          <w:sz w:val="20"/>
          <w:szCs w:val="24"/>
          <w:lang w:eastAsia="fr-FR"/>
        </w:rPr>
        <w:t xml:space="preserve"> (soit en France les comptes de bilan 10, 11 et 12 : capital, réserves, </w:t>
      </w:r>
      <w:hyperlink r:id="rId14" w:tooltip="Report à nouveau" w:history="1">
        <w:r w:rsidRPr="003641DC">
          <w:rPr>
            <w:rFonts w:ascii="Calibri" w:eastAsia="Times New Roman" w:hAnsi="Calibri" w:cs="Times New Roman"/>
            <w:color w:val="002060"/>
            <w:sz w:val="20"/>
            <w:szCs w:val="24"/>
            <w:lang w:eastAsia="fr-FR"/>
          </w:rPr>
          <w:t>report à nouveau</w:t>
        </w:r>
      </w:hyperlink>
      <w:r w:rsidRPr="003641DC">
        <w:rPr>
          <w:rFonts w:ascii="Calibri" w:eastAsia="Times New Roman" w:hAnsi="Calibri" w:cs="Times New Roman"/>
          <w:color w:val="002060"/>
          <w:sz w:val="20"/>
          <w:szCs w:val="24"/>
          <w:lang w:eastAsia="fr-FR"/>
        </w:rPr>
        <w:t xml:space="preserve"> et bénéfice) est la partie la plus stable des capitaux propres (on y trouve donc ni les subventions des comptes 13, ni les provisions réglementées des comptes 14, qui ne sont en comptabilité française que de l’impôt différé).</w:t>
      </w:r>
    </w:p>
    <w:p w:rsidR="00B23687" w:rsidRPr="00B92B60" w:rsidRDefault="00B23687" w:rsidP="003B62A0">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 xml:space="preserve">Caractéristiques comptables des capitaux propres </w:t>
      </w:r>
    </w:p>
    <w:p w:rsidR="00B23687" w:rsidRPr="003641DC" w:rsidRDefault="00B23687" w:rsidP="00040DA4">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En France</w:t>
      </w:r>
      <w:r w:rsidRPr="003641DC">
        <w:rPr>
          <w:rFonts w:ascii="Calibri" w:eastAsia="Times New Roman" w:hAnsi="Calibri" w:cs="Times New Roman"/>
          <w:vanish/>
          <w:color w:val="002060"/>
          <w:sz w:val="20"/>
          <w:szCs w:val="19"/>
          <w:vertAlign w:val="superscript"/>
          <w:lang w:eastAsia="fr-FR"/>
        </w:rPr>
        <w:t>[]</w:t>
      </w:r>
      <w:r w:rsidRPr="003641DC">
        <w:rPr>
          <w:rFonts w:ascii="Calibri" w:eastAsia="Times New Roman" w:hAnsi="Calibri" w:cs="Times New Roman"/>
          <w:color w:val="002060"/>
          <w:sz w:val="20"/>
          <w:szCs w:val="24"/>
          <w:lang w:eastAsia="fr-FR"/>
        </w:rPr>
        <w:t>, certains éléments des capitaux propres sont susceptibles d'être grevés de dettes fiscales latentes, d'autres peuvent engendrer des créances fiscales latentes.</w:t>
      </w:r>
    </w:p>
    <w:p w:rsidR="00B23687" w:rsidRPr="003641DC" w:rsidRDefault="00B23687" w:rsidP="00040DA4">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D'après le plan comptable général français (PCG), les capitaux propres correspondent à la somme algébrique</w:t>
      </w:r>
      <w:hyperlink r:id="rId15" w:anchor="cite_note-2" w:history="1">
        <w:r w:rsidRPr="003641DC">
          <w:rPr>
            <w:rFonts w:ascii="Calibri" w:eastAsia="Times New Roman" w:hAnsi="Calibri" w:cs="Times New Roman"/>
            <w:vanish/>
            <w:color w:val="002060"/>
            <w:sz w:val="20"/>
            <w:szCs w:val="19"/>
            <w:vertAlign w:val="superscript"/>
            <w:lang w:eastAsia="fr-FR"/>
          </w:rPr>
          <w:t>[</w:t>
        </w:r>
        <w:r w:rsidRPr="003641DC">
          <w:rPr>
            <w:rFonts w:ascii="Calibri" w:eastAsia="Times New Roman" w:hAnsi="Calibri" w:cs="Times New Roman"/>
            <w:color w:val="002060"/>
            <w:sz w:val="20"/>
            <w:szCs w:val="19"/>
            <w:vertAlign w:val="superscript"/>
            <w:lang w:eastAsia="fr-FR"/>
          </w:rPr>
          <w:t>2</w:t>
        </w:r>
        <w:r w:rsidRPr="003641DC">
          <w:rPr>
            <w:rFonts w:ascii="Calibri" w:eastAsia="Times New Roman" w:hAnsi="Calibri" w:cs="Times New Roman"/>
            <w:vanish/>
            <w:color w:val="002060"/>
            <w:sz w:val="20"/>
            <w:szCs w:val="19"/>
            <w:vertAlign w:val="superscript"/>
            <w:lang w:eastAsia="fr-FR"/>
          </w:rPr>
          <w:t>]</w:t>
        </w:r>
      </w:hyperlink>
      <w:r w:rsidRPr="003641DC">
        <w:rPr>
          <w:rFonts w:ascii="Calibri" w:eastAsia="Times New Roman" w:hAnsi="Calibri" w:cs="Times New Roman"/>
          <w:color w:val="002060"/>
          <w:sz w:val="20"/>
          <w:szCs w:val="24"/>
          <w:lang w:eastAsia="fr-FR"/>
        </w:rPr>
        <w:t> :</w:t>
      </w:r>
    </w:p>
    <w:p w:rsidR="00B23687" w:rsidRPr="003641DC" w:rsidRDefault="00B23687" w:rsidP="00040DA4">
      <w:pPr>
        <w:numPr>
          <w:ilvl w:val="0"/>
          <w:numId w:val="3"/>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des apports : </w:t>
      </w:r>
      <w:hyperlink r:id="rId16" w:tooltip="Capital social" w:history="1">
        <w:r w:rsidRPr="003641DC">
          <w:rPr>
            <w:rFonts w:ascii="Calibri" w:eastAsia="Times New Roman" w:hAnsi="Calibri" w:cs="Times New Roman"/>
            <w:color w:val="002060"/>
            <w:sz w:val="20"/>
            <w:szCs w:val="24"/>
            <w:lang w:eastAsia="fr-FR"/>
          </w:rPr>
          <w:t>capital social</w:t>
        </w:r>
      </w:hyperlink>
      <w:r w:rsidRPr="003641DC">
        <w:rPr>
          <w:rFonts w:ascii="Calibri" w:eastAsia="Times New Roman" w:hAnsi="Calibri" w:cs="Times New Roman"/>
          <w:color w:val="002060"/>
          <w:sz w:val="20"/>
          <w:szCs w:val="24"/>
          <w:lang w:eastAsia="fr-FR"/>
        </w:rPr>
        <w:t>, primes liées au capital (comptes de la classe 10),</w:t>
      </w:r>
    </w:p>
    <w:p w:rsidR="00B23687" w:rsidRPr="003641DC" w:rsidRDefault="00B23687" w:rsidP="00040DA4">
      <w:pPr>
        <w:numPr>
          <w:ilvl w:val="0"/>
          <w:numId w:val="3"/>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des écarts de réévaluation (comptes de la classe 10),</w:t>
      </w:r>
    </w:p>
    <w:p w:rsidR="00B23687" w:rsidRPr="003641DC" w:rsidRDefault="00B23687" w:rsidP="00040DA4">
      <w:pPr>
        <w:numPr>
          <w:ilvl w:val="0"/>
          <w:numId w:val="3"/>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des écarts d'équivalence (comptes de la classe 10),</w:t>
      </w:r>
    </w:p>
    <w:p w:rsidR="00B23687" w:rsidRPr="003641DC" w:rsidRDefault="00B23687" w:rsidP="00040DA4">
      <w:pPr>
        <w:numPr>
          <w:ilvl w:val="0"/>
          <w:numId w:val="3"/>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des </w:t>
      </w:r>
      <w:hyperlink r:id="rId17" w:tooltip="Bénéfice" w:history="1">
        <w:r w:rsidRPr="003641DC">
          <w:rPr>
            <w:rFonts w:ascii="Calibri" w:eastAsia="Times New Roman" w:hAnsi="Calibri" w:cs="Times New Roman"/>
            <w:color w:val="002060"/>
            <w:sz w:val="20"/>
            <w:szCs w:val="24"/>
            <w:lang w:eastAsia="fr-FR"/>
          </w:rPr>
          <w:t>bénéfices</w:t>
        </w:r>
      </w:hyperlink>
      <w:r w:rsidRPr="003641DC">
        <w:rPr>
          <w:rFonts w:ascii="Calibri" w:eastAsia="Times New Roman" w:hAnsi="Calibri" w:cs="Times New Roman"/>
          <w:color w:val="002060"/>
          <w:sz w:val="20"/>
          <w:szCs w:val="24"/>
          <w:lang w:eastAsia="fr-FR"/>
        </w:rPr>
        <w:t xml:space="preserve"> autres que ceux pour lesquels une décision de distribution est intervenue : </w:t>
      </w:r>
      <w:hyperlink r:id="rId18" w:tooltip="Réserve comptable" w:history="1">
        <w:r w:rsidRPr="003641DC">
          <w:rPr>
            <w:rFonts w:ascii="Calibri" w:eastAsia="Times New Roman" w:hAnsi="Calibri" w:cs="Times New Roman"/>
            <w:color w:val="002060"/>
            <w:sz w:val="20"/>
            <w:szCs w:val="24"/>
            <w:lang w:eastAsia="fr-FR"/>
          </w:rPr>
          <w:t>réserves</w:t>
        </w:r>
      </w:hyperlink>
      <w:r w:rsidRPr="003641DC">
        <w:rPr>
          <w:rFonts w:ascii="Calibri" w:eastAsia="Times New Roman" w:hAnsi="Calibri" w:cs="Times New Roman"/>
          <w:color w:val="002060"/>
          <w:sz w:val="20"/>
          <w:szCs w:val="24"/>
          <w:lang w:eastAsia="fr-FR"/>
        </w:rPr>
        <w:t xml:space="preserve">, </w:t>
      </w:r>
      <w:hyperlink r:id="rId19" w:tooltip="Report à nouveau" w:history="1">
        <w:r w:rsidRPr="003641DC">
          <w:rPr>
            <w:rFonts w:ascii="Calibri" w:eastAsia="Times New Roman" w:hAnsi="Calibri" w:cs="Times New Roman"/>
            <w:color w:val="002060"/>
            <w:sz w:val="20"/>
            <w:szCs w:val="24"/>
            <w:lang w:eastAsia="fr-FR"/>
          </w:rPr>
          <w:t>report à nouveau</w:t>
        </w:r>
      </w:hyperlink>
      <w:r w:rsidRPr="003641DC">
        <w:rPr>
          <w:rFonts w:ascii="Calibri" w:eastAsia="Times New Roman" w:hAnsi="Calibri" w:cs="Times New Roman"/>
          <w:color w:val="002060"/>
          <w:sz w:val="20"/>
          <w:szCs w:val="24"/>
          <w:lang w:eastAsia="fr-FR"/>
        </w:rPr>
        <w:t xml:space="preserve"> créditeur, </w:t>
      </w:r>
      <w:hyperlink r:id="rId20" w:tooltip="Résultat net" w:history="1">
        <w:r w:rsidRPr="003641DC">
          <w:rPr>
            <w:rFonts w:ascii="Calibri" w:eastAsia="Times New Roman" w:hAnsi="Calibri" w:cs="Times New Roman"/>
            <w:color w:val="002060"/>
            <w:sz w:val="20"/>
            <w:szCs w:val="24"/>
            <w:lang w:eastAsia="fr-FR"/>
          </w:rPr>
          <w:t>bénéfice de l'exercice</w:t>
        </w:r>
      </w:hyperlink>
      <w:r w:rsidRPr="003641DC">
        <w:rPr>
          <w:rFonts w:ascii="Calibri" w:eastAsia="Times New Roman" w:hAnsi="Calibri" w:cs="Times New Roman"/>
          <w:color w:val="002060"/>
          <w:sz w:val="20"/>
          <w:szCs w:val="24"/>
          <w:lang w:eastAsia="fr-FR"/>
        </w:rPr>
        <w:t xml:space="preserve"> (comptes de la classe 10, 11 et 12),</w:t>
      </w:r>
    </w:p>
    <w:p w:rsidR="00B23687" w:rsidRPr="003641DC" w:rsidRDefault="00B23687" w:rsidP="00040DA4">
      <w:pPr>
        <w:numPr>
          <w:ilvl w:val="0"/>
          <w:numId w:val="3"/>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des pertes : report à nouveau débiteur, perte de l'exercice (comptes de la classe 11 et 12),</w:t>
      </w:r>
    </w:p>
    <w:p w:rsidR="00B23687" w:rsidRPr="003641DC" w:rsidRDefault="00B23687" w:rsidP="00040DA4">
      <w:pPr>
        <w:numPr>
          <w:ilvl w:val="0"/>
          <w:numId w:val="3"/>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des subventions d'investissement (comptes de la classe 13),</w:t>
      </w:r>
    </w:p>
    <w:p w:rsidR="00B23687" w:rsidRPr="003641DC" w:rsidRDefault="00B23687" w:rsidP="00040DA4">
      <w:pPr>
        <w:numPr>
          <w:ilvl w:val="0"/>
          <w:numId w:val="3"/>
        </w:numPr>
        <w:spacing w:before="100" w:beforeAutospacing="1"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des </w:t>
      </w:r>
      <w:hyperlink r:id="rId21" w:tooltip="Provision" w:history="1">
        <w:r w:rsidRPr="003641DC">
          <w:rPr>
            <w:rFonts w:ascii="Calibri" w:eastAsia="Times New Roman" w:hAnsi="Calibri" w:cs="Times New Roman"/>
            <w:color w:val="002060"/>
            <w:sz w:val="20"/>
            <w:szCs w:val="24"/>
            <w:lang w:eastAsia="fr-FR"/>
          </w:rPr>
          <w:t>provisions</w:t>
        </w:r>
      </w:hyperlink>
      <w:r w:rsidRPr="003641DC">
        <w:rPr>
          <w:rFonts w:ascii="Calibri" w:eastAsia="Times New Roman" w:hAnsi="Calibri" w:cs="Times New Roman"/>
          <w:color w:val="002060"/>
          <w:sz w:val="20"/>
          <w:szCs w:val="24"/>
          <w:lang w:eastAsia="fr-FR"/>
        </w:rPr>
        <w:t xml:space="preserve"> réglementées (comptes de la classe 14 jusqu'au compte 145).</w:t>
      </w:r>
    </w:p>
    <w:p w:rsidR="00B23687" w:rsidRPr="003641DC" w:rsidRDefault="00B23687" w:rsidP="00040DA4">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Les capitaux propres correspondent donc à la somme des montants inscrits dans les comptes 101000 à 145000.</w:t>
      </w:r>
    </w:p>
    <w:p w:rsidR="00B23687" w:rsidRPr="003641DC" w:rsidRDefault="00B23687" w:rsidP="00040DA4">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En </w:t>
      </w:r>
      <w:hyperlink r:id="rId22" w:tooltip="Plan comptable général (France)" w:history="1">
        <w:r w:rsidRPr="003641DC">
          <w:rPr>
            <w:rFonts w:ascii="Calibri" w:eastAsia="Times New Roman" w:hAnsi="Calibri" w:cs="Times New Roman"/>
            <w:color w:val="002060"/>
            <w:sz w:val="20"/>
            <w:szCs w:val="24"/>
            <w:lang w:eastAsia="fr-FR"/>
          </w:rPr>
          <w:t>comptabilité française</w:t>
        </w:r>
      </w:hyperlink>
      <w:r w:rsidRPr="003641DC">
        <w:rPr>
          <w:rFonts w:ascii="Calibri" w:eastAsia="Times New Roman" w:hAnsi="Calibri" w:cs="Times New Roman"/>
          <w:color w:val="002060"/>
          <w:sz w:val="20"/>
          <w:szCs w:val="24"/>
          <w:lang w:eastAsia="fr-FR"/>
        </w:rPr>
        <w:t>, le montant des capitaux propres est le premier sous-total du passif du bilan. On retrouve également ce montant sur la liasse fiscale n°2051.</w:t>
      </w:r>
    </w:p>
    <w:p w:rsidR="00B23687" w:rsidRPr="003641DC" w:rsidRDefault="00B23687" w:rsidP="00040DA4">
      <w:pPr>
        <w:spacing w:after="60" w:line="240" w:lineRule="auto"/>
        <w:jc w:val="both"/>
        <w:outlineLvl w:val="1"/>
        <w:rPr>
          <w:rFonts w:ascii="Calibri" w:eastAsia="Times New Roman" w:hAnsi="Calibri" w:cs="Times New Roman"/>
          <w:b/>
          <w:bCs/>
          <w:color w:val="002060"/>
          <w:sz w:val="20"/>
          <w:szCs w:val="36"/>
          <w:lang w:eastAsia="fr-FR"/>
        </w:rPr>
      </w:pPr>
      <w:r w:rsidRPr="00040DA4">
        <w:rPr>
          <w:rFonts w:ascii="Calibri" w:eastAsia="Times New Roman" w:hAnsi="Calibri" w:cs="Times New Roman"/>
          <w:b/>
          <w:bCs/>
          <w:i/>
          <w:color w:val="0000CC"/>
          <w:sz w:val="20"/>
          <w:szCs w:val="36"/>
          <w:lang w:eastAsia="fr-FR"/>
        </w:rPr>
        <w:t>L</w:t>
      </w:r>
      <w:r w:rsidRPr="00040DA4">
        <w:rPr>
          <w:rFonts w:ascii="Calibri" w:eastAsia="Times New Roman" w:hAnsi="Calibri" w:cs="Times New Roman"/>
          <w:b/>
          <w:bCs/>
          <w:color w:val="0000CC"/>
          <w:sz w:val="20"/>
          <w:szCs w:val="36"/>
          <w:lang w:eastAsia="fr-FR"/>
        </w:rPr>
        <w:t>'</w:t>
      </w:r>
      <w:r w:rsidRPr="00040DA4">
        <w:rPr>
          <w:rFonts w:ascii="Calibri" w:eastAsia="Times New Roman" w:hAnsi="Calibri" w:cs="Times New Roman"/>
          <w:b/>
          <w:bCs/>
          <w:i/>
          <w:iCs/>
          <w:color w:val="0000CC"/>
          <w:sz w:val="20"/>
          <w:szCs w:val="36"/>
          <w:lang w:eastAsia="fr-FR"/>
        </w:rPr>
        <w:t>actif net</w:t>
      </w:r>
      <w:r w:rsidRPr="003641DC">
        <w:rPr>
          <w:rFonts w:ascii="Calibri" w:eastAsia="Times New Roman" w:hAnsi="Calibri" w:cs="Times New Roman"/>
          <w:b/>
          <w:bCs/>
          <w:color w:val="002060"/>
          <w:sz w:val="20"/>
          <w:szCs w:val="36"/>
          <w:lang w:eastAsia="fr-FR"/>
        </w:rPr>
        <w:t xml:space="preserve">, autre désignation des capitaux propres </w:t>
      </w:r>
    </w:p>
    <w:p w:rsidR="00B23687" w:rsidRPr="003641DC" w:rsidRDefault="00B23687" w:rsidP="00040DA4">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Sur le plan comptable, on appelle capitaux propres la valeur totale des actifs (terrains, usines, machines, marques rachetées, trésorerie, etc.) diminué du total des dettes.</w:t>
      </w:r>
    </w:p>
    <w:p w:rsidR="00B23687" w:rsidRPr="003641DC" w:rsidRDefault="00B23687" w:rsidP="00040DA4">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Leur autre nom est « </w:t>
      </w:r>
      <w:r w:rsidRPr="00040DA4">
        <w:rPr>
          <w:rFonts w:ascii="Calibri" w:eastAsia="Times New Roman" w:hAnsi="Calibri" w:cs="Times New Roman"/>
          <w:b/>
          <w:color w:val="0000CC"/>
          <w:sz w:val="20"/>
          <w:szCs w:val="24"/>
          <w:lang w:eastAsia="fr-FR"/>
        </w:rPr>
        <w:t>actif net</w:t>
      </w:r>
      <w:r w:rsidRPr="00040DA4">
        <w:rPr>
          <w:rFonts w:ascii="Calibri" w:eastAsia="Times New Roman" w:hAnsi="Calibri" w:cs="Times New Roman"/>
          <w:color w:val="0000CC"/>
          <w:sz w:val="20"/>
          <w:szCs w:val="24"/>
          <w:lang w:eastAsia="fr-FR"/>
        </w:rPr>
        <w:t> </w:t>
      </w:r>
      <w:r w:rsidRPr="003641DC">
        <w:rPr>
          <w:rFonts w:ascii="Calibri" w:eastAsia="Times New Roman" w:hAnsi="Calibri" w:cs="Times New Roman"/>
          <w:color w:val="002060"/>
          <w:sz w:val="20"/>
          <w:szCs w:val="24"/>
          <w:lang w:eastAsia="fr-FR"/>
        </w:rPr>
        <w:t xml:space="preserve">». Une coopérative ou une mutuelle, dépourvues de </w:t>
      </w:r>
      <w:hyperlink r:id="rId23" w:tooltip="Capital social" w:history="1">
        <w:r w:rsidRPr="003641DC">
          <w:rPr>
            <w:rFonts w:ascii="Calibri" w:eastAsia="Times New Roman" w:hAnsi="Calibri" w:cs="Times New Roman"/>
            <w:color w:val="002060"/>
            <w:sz w:val="20"/>
            <w:szCs w:val="24"/>
            <w:lang w:eastAsia="fr-FR"/>
          </w:rPr>
          <w:t>capital social</w:t>
        </w:r>
      </w:hyperlink>
      <w:r w:rsidRPr="003641DC">
        <w:rPr>
          <w:rFonts w:ascii="Calibri" w:eastAsia="Times New Roman" w:hAnsi="Calibri" w:cs="Times New Roman"/>
          <w:color w:val="002060"/>
          <w:sz w:val="20"/>
          <w:szCs w:val="24"/>
          <w:lang w:eastAsia="fr-FR"/>
        </w:rPr>
        <w:t>, peuvent ainsi avoir des capitaux propres si la valeur de leurs actifs dépasse le montant de leurs dettes.</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Cet actif net est calculé chaque année lors de la présentation du </w:t>
      </w:r>
      <w:hyperlink r:id="rId24" w:tooltip="Bilan comptable" w:history="1">
        <w:r w:rsidRPr="003641DC">
          <w:rPr>
            <w:rFonts w:ascii="Calibri" w:eastAsia="Times New Roman" w:hAnsi="Calibri" w:cs="Times New Roman"/>
            <w:color w:val="002060"/>
            <w:sz w:val="20"/>
            <w:szCs w:val="24"/>
            <w:lang w:eastAsia="fr-FR"/>
          </w:rPr>
          <w:t>bilan comptable</w:t>
        </w:r>
      </w:hyperlink>
      <w:r w:rsidRPr="003641DC">
        <w:rPr>
          <w:rFonts w:ascii="Calibri" w:eastAsia="Times New Roman" w:hAnsi="Calibri" w:cs="Times New Roman"/>
          <w:color w:val="002060"/>
          <w:sz w:val="20"/>
          <w:szCs w:val="24"/>
          <w:lang w:eastAsia="fr-FR"/>
        </w:rPr>
        <w:t xml:space="preserve">. Les analystes financiers peuvent aussi calculer un </w:t>
      </w:r>
      <w:hyperlink r:id="rId25" w:tooltip="Actif net réévalué (page inexistante)" w:history="1">
        <w:r w:rsidRPr="003641DC">
          <w:rPr>
            <w:rFonts w:ascii="Calibri" w:eastAsia="Times New Roman" w:hAnsi="Calibri" w:cs="Times New Roman"/>
            <w:color w:val="002060"/>
            <w:sz w:val="20"/>
            <w:szCs w:val="24"/>
            <w:lang w:eastAsia="fr-FR"/>
          </w:rPr>
          <w:t>actif net réévalué</w:t>
        </w:r>
      </w:hyperlink>
      <w:r w:rsidRPr="003641DC">
        <w:rPr>
          <w:rFonts w:ascii="Calibri" w:eastAsia="Times New Roman" w:hAnsi="Calibri" w:cs="Times New Roman"/>
          <w:color w:val="002060"/>
          <w:sz w:val="20"/>
          <w:szCs w:val="24"/>
          <w:lang w:eastAsia="fr-FR"/>
        </w:rPr>
        <w:t xml:space="preserve">, qu'ils comparent à la </w:t>
      </w:r>
      <w:hyperlink r:id="rId26" w:tooltip="Capitalisation boursière" w:history="1">
        <w:r w:rsidRPr="003641DC">
          <w:rPr>
            <w:rFonts w:ascii="Calibri" w:eastAsia="Times New Roman" w:hAnsi="Calibri" w:cs="Times New Roman"/>
            <w:color w:val="002060"/>
            <w:sz w:val="20"/>
            <w:szCs w:val="24"/>
            <w:lang w:eastAsia="fr-FR"/>
          </w:rPr>
          <w:t>capitalisation boursière</w:t>
        </w:r>
      </w:hyperlink>
      <w:r w:rsidRPr="003641DC">
        <w:rPr>
          <w:rFonts w:ascii="Calibri" w:eastAsia="Times New Roman" w:hAnsi="Calibri" w:cs="Times New Roman"/>
          <w:color w:val="002060"/>
          <w:sz w:val="20"/>
          <w:szCs w:val="24"/>
          <w:lang w:eastAsia="fr-FR"/>
        </w:rPr>
        <w:t>. Si cette dernière est inférieure à l'actif net réévalué, la société est sous-évaluée en Bourse.</w:t>
      </w:r>
    </w:p>
    <w:p w:rsidR="00B23687" w:rsidRPr="00B92B60" w:rsidRDefault="00B23687" w:rsidP="003B62A0">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L'utilité des capitaux propres </w:t>
      </w:r>
      <w:r w:rsidR="003B62A0" w:rsidRPr="00B92B60">
        <w:rPr>
          <w:rFonts w:ascii="Calibri" w:eastAsia="Times New Roman" w:hAnsi="Calibri" w:cs="Times New Roman"/>
          <w:b/>
          <w:bCs/>
          <w:color w:val="002060"/>
          <w:sz w:val="21"/>
          <w:szCs w:val="21"/>
          <w:lang w:eastAsia="fr-FR"/>
        </w:rPr>
        <w:sym w:font="Wingdings" w:char="F0E0"/>
      </w:r>
      <w:r w:rsidR="003B62A0" w:rsidRPr="00B92B60">
        <w:rPr>
          <w:rFonts w:ascii="Calibri" w:eastAsia="Times New Roman" w:hAnsi="Calibri" w:cs="Times New Roman"/>
          <w:b/>
          <w:bCs/>
          <w:color w:val="002060"/>
          <w:sz w:val="21"/>
          <w:szCs w:val="21"/>
          <w:lang w:eastAsia="fr-FR"/>
        </w:rPr>
        <w:t xml:space="preserve"> </w:t>
      </w:r>
      <w:r w:rsidRPr="00B92B60">
        <w:rPr>
          <w:rFonts w:ascii="Calibri" w:eastAsia="Times New Roman" w:hAnsi="Calibri" w:cs="Times New Roman"/>
          <w:b/>
          <w:bCs/>
          <w:color w:val="002060"/>
          <w:sz w:val="21"/>
          <w:szCs w:val="21"/>
          <w:lang w:eastAsia="fr-FR"/>
        </w:rPr>
        <w:t xml:space="preserve">assurer la solvabilité de l'entreprise </w:t>
      </w:r>
    </w:p>
    <w:p w:rsidR="008B5230"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Les fonds propres, ou capitaux propres, ont plusieurs avantages pour l'entreprise. Le principal est de représenter un matelas de sécurité pour les créanciers de l'entreprise. En absorbant les pertes en période de pertes, ils garantissent une croissance durable. Ils vont donc aider, s'ils sont suffisants, l'entreprise à emprunter ou </w:t>
      </w:r>
      <w:r w:rsidR="00DC2685" w:rsidRPr="003641DC">
        <w:rPr>
          <w:rFonts w:ascii="Calibri" w:eastAsia="Times New Roman" w:hAnsi="Calibri" w:cs="Times New Roman"/>
          <w:color w:val="002060"/>
          <w:sz w:val="20"/>
          <w:szCs w:val="24"/>
          <w:lang w:eastAsia="fr-FR"/>
        </w:rPr>
        <w:t>à</w:t>
      </w:r>
      <w:r w:rsidRPr="003641DC">
        <w:rPr>
          <w:rFonts w:ascii="Calibri" w:eastAsia="Times New Roman" w:hAnsi="Calibri" w:cs="Times New Roman"/>
          <w:color w:val="002060"/>
          <w:sz w:val="20"/>
          <w:szCs w:val="24"/>
          <w:lang w:eastAsia="fr-FR"/>
        </w:rPr>
        <w:t xml:space="preserve"> obtenir des délais de règlement plus avantageux, mais aussi </w:t>
      </w:r>
      <w:hyperlink r:id="rId27" w:anchor="Les_entreprises_cot.C3.A9es_r.C3.A9duisent_leurs_capitaux_propres" w:tooltip="Histoire des bourses de valeurs" w:history="1">
        <w:r w:rsidRPr="003641DC">
          <w:rPr>
            <w:rFonts w:ascii="Calibri" w:eastAsia="Times New Roman" w:hAnsi="Calibri" w:cs="Times New Roman"/>
            <w:color w:val="002060"/>
            <w:sz w:val="20"/>
            <w:szCs w:val="24"/>
            <w:lang w:eastAsia="fr-FR"/>
          </w:rPr>
          <w:t>assurer une visibilité à long terme pour ses partenaires les plus importants: fournisseurs, salariés et clients</w:t>
        </w:r>
      </w:hyperlink>
      <w:r w:rsidRPr="003641DC">
        <w:rPr>
          <w:rFonts w:ascii="Calibri" w:eastAsia="Times New Roman" w:hAnsi="Calibri" w:cs="Times New Roman"/>
          <w:color w:val="002060"/>
          <w:sz w:val="20"/>
          <w:szCs w:val="24"/>
          <w:lang w:eastAsia="fr-FR"/>
        </w:rPr>
        <w:t>.</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En effet, au cours de la vie de l'entreprise, les bénéfices sont ajoutés aux capitaux propres et les pertes en sont soustraites. En cas de pertes importantes, les capitaux propres peuvent donc devenir négatifs. Les créanciers ne sont alors plus sûrs d'être remboursés en cas de défaut de paiement, car la dette dépasse la valeur des actifs de l'entreprise (immeubles, matériel, etc.) mis en gage auprès des créanciers. La revente des actifs à leur valeur de bilan ne suffira pas à rembourser les dettes en cas de faillite. Cela se traduira donc probablement par un coût plus élevé de la dette, les créanciers demandant un taux d'intérêt </w:t>
      </w:r>
      <w:r w:rsidRPr="003641DC">
        <w:rPr>
          <w:rFonts w:ascii="Calibri" w:eastAsia="Times New Roman" w:hAnsi="Calibri" w:cs="Times New Roman"/>
          <w:color w:val="002060"/>
          <w:sz w:val="20"/>
          <w:szCs w:val="24"/>
          <w:lang w:eastAsia="fr-FR"/>
        </w:rPr>
        <w:lastRenderedPageBreak/>
        <w:t>supérieur à cause du risque accru. À l'inverse, plus les capitaux propres sont importants, plus l'entreprise peut sécuriser ses relations à long terme avec tous ses partenaires : créanciers, fournisseurs, clients ou salariés.</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Conséquence de cette sécurité pour les tiers, les fonds propres favorisent la résistance de l'entreprise. En effet, en cas de graves difficultés financières, les chances de survie de l'entreprise sont proportionnelles à l'importance de ses capitaux propres, beaucoup plus qu'à sa taille. Une très grande entreprise ayant trop peu de capitaux propres peut disparaître très rapidement.</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Enfin, pour les actionnaires, des fonds propres positifs (supérieurs aux dettes) permettent la distribution de dividendes. À défaut, la distribution de dividendes, c'est-à-dire de numéraire prélevé sur la trésorerie de la société est difficile ou impossible. Les actionnaires ont donc un intérêt à long terme à posséder une entreprise correctement capitalisée.</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Lorsque les capitaux propres sont insuffisants, on parle de </w:t>
      </w:r>
      <w:hyperlink r:id="rId28" w:tooltip="Sous-capitalisation" w:history="1">
        <w:r w:rsidRPr="003641DC">
          <w:rPr>
            <w:rFonts w:ascii="Calibri" w:eastAsia="Times New Roman" w:hAnsi="Calibri" w:cs="Times New Roman"/>
            <w:color w:val="002060"/>
            <w:sz w:val="20"/>
            <w:szCs w:val="24"/>
            <w:lang w:eastAsia="fr-FR"/>
          </w:rPr>
          <w:t>sous-capitalisation</w:t>
        </w:r>
      </w:hyperlink>
      <w:r w:rsidRPr="003641DC">
        <w:rPr>
          <w:rFonts w:ascii="Calibri" w:eastAsia="Times New Roman" w:hAnsi="Calibri" w:cs="Times New Roman"/>
          <w:color w:val="002060"/>
          <w:sz w:val="20"/>
          <w:szCs w:val="24"/>
          <w:lang w:eastAsia="fr-FR"/>
        </w:rPr>
        <w:t xml:space="preserve">, ce qui peut se traduire par une </w:t>
      </w:r>
      <w:hyperlink r:id="rId29" w:tooltip="Crise de solvabilité" w:history="1">
        <w:r w:rsidRPr="003641DC">
          <w:rPr>
            <w:rFonts w:ascii="Calibri" w:eastAsia="Times New Roman" w:hAnsi="Calibri" w:cs="Times New Roman"/>
            <w:color w:val="002060"/>
            <w:sz w:val="20"/>
            <w:szCs w:val="24"/>
            <w:lang w:eastAsia="fr-FR"/>
          </w:rPr>
          <w:t>crise de solvabilité</w:t>
        </w:r>
      </w:hyperlink>
      <w:r w:rsidRPr="003641DC">
        <w:rPr>
          <w:rFonts w:ascii="Calibri" w:eastAsia="Times New Roman" w:hAnsi="Calibri" w:cs="Times New Roman"/>
          <w:color w:val="002060"/>
          <w:sz w:val="20"/>
          <w:szCs w:val="24"/>
          <w:lang w:eastAsia="fr-FR"/>
        </w:rPr>
        <w:t>.</w:t>
      </w:r>
    </w:p>
    <w:p w:rsidR="00B23687" w:rsidRPr="00B92B60" w:rsidRDefault="00B23687" w:rsidP="003B62A0">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 xml:space="preserve">Le coût des capitaux propres  </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Pour l'entreprise, le coût des capitaux propres est plus élevé que celui de la dette. L'actionnaire supporte plus de risques qu'une banque prêtant de l'argent : en cas de liquidation, la banque sera remboursée en priorité alors que l'actionnaire venant en dernier dans l'ordre des remboursements risque de tout perdre. En échange de ce risque, il attend donc une rémunération supérieure au taux d'intérêt pratiqué par une banque en échange de son investissement.</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Si l'entreprise n'est pas en mesure de fournir à l'actionnaire ce retour sur investissement plus élevé, celui-ci préférera placer son argent ailleurs. Par exemple, il pourrait prêter de l'argent à l'entreprise sous forme de dette plutôt que de l'investir sous forme d'actions : l'entreprise ne pourra pas lever de fonds auprès d'investisseurs.</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Le coût des ressources financières de l'entreprise dépend donc à la fois des coûts financiers de la dette, de la rémunération attendue par l'actionnaire et de la répartition du capital entre dettes et capitaux propres. À partir de ces informations, on peut calculer le coût moyen de ces ressources financières, aussi appelé « coût moyen pondéré du capital » (CMPC).</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La proportion de capitaux propres et de dette au passif de l'entreprise est un positionnement stratégique qui traduit le compromis nécessaire entre la solidité face aux difficultés et le coût des ressources financières. Le ratio dette sur fonds propres est une donnée importante du bilan comptable de l'entreprise ; il sera en général d'autant plus important que l'entreprise offre des perspectives de rentabilité stables à long terme : il est alors moins nécessaire de se prémunir contre de peu probables difficultés financières. À l'inverse, une entreprise évoluant dans un domaine d'activité cyclique ou une entreprise ayant une activité particulièrement risquée auront un ratio dette sur fond propres faible.</w:t>
      </w:r>
    </w:p>
    <w:p w:rsidR="00B23687" w:rsidRPr="00B92B60" w:rsidRDefault="00B23687" w:rsidP="003B62A0">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 xml:space="preserve">La </w:t>
      </w:r>
      <w:hyperlink r:id="rId30" w:tooltip="Capitalisation boursière" w:history="1">
        <w:r w:rsidRPr="00B92B60">
          <w:rPr>
            <w:rFonts w:ascii="Calibri" w:eastAsia="Times New Roman" w:hAnsi="Calibri" w:cs="Times New Roman"/>
            <w:b/>
            <w:bCs/>
            <w:color w:val="002060"/>
            <w:sz w:val="21"/>
            <w:szCs w:val="21"/>
            <w:lang w:eastAsia="fr-FR"/>
          </w:rPr>
          <w:t>capitalisation boursière</w:t>
        </w:r>
      </w:hyperlink>
      <w:r w:rsidRPr="00B92B60">
        <w:rPr>
          <w:rFonts w:ascii="Calibri" w:eastAsia="Times New Roman" w:hAnsi="Calibri" w:cs="Times New Roman"/>
          <w:b/>
          <w:bCs/>
          <w:color w:val="002060"/>
          <w:sz w:val="21"/>
          <w:szCs w:val="21"/>
          <w:lang w:eastAsia="fr-FR"/>
        </w:rPr>
        <w:t xml:space="preserve">, valeur des capitaux propres sur le marché </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Le montant des capitaux propres donne une simple indication comptable. Les investisseurs boursiers actualisent cette indication en fixant à ces capitaux propres, chaque jour, une valeur boursière, appelée </w:t>
      </w:r>
      <w:hyperlink r:id="rId31" w:tooltip="Capitalisation boursière" w:history="1">
        <w:r w:rsidRPr="003641DC">
          <w:rPr>
            <w:rFonts w:ascii="Calibri" w:eastAsia="Times New Roman" w:hAnsi="Calibri" w:cs="Times New Roman"/>
            <w:color w:val="002060"/>
            <w:sz w:val="20"/>
            <w:szCs w:val="24"/>
            <w:lang w:eastAsia="fr-FR"/>
          </w:rPr>
          <w:t>capitalisation boursière</w:t>
        </w:r>
      </w:hyperlink>
      <w:r w:rsidRPr="003641DC">
        <w:rPr>
          <w:rFonts w:ascii="Calibri" w:eastAsia="Times New Roman" w:hAnsi="Calibri" w:cs="Times New Roman"/>
          <w:color w:val="002060"/>
          <w:sz w:val="20"/>
          <w:szCs w:val="24"/>
          <w:lang w:eastAsia="fr-FR"/>
        </w:rPr>
        <w:t xml:space="preserve"> en fonction des perspectives de rentabilité de l'entreprise : c'est la valeur de marché de l'entreprise.</w:t>
      </w:r>
    </w:p>
    <w:p w:rsidR="00B23687" w:rsidRPr="00B92B60" w:rsidRDefault="00B23687" w:rsidP="003B62A0">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 xml:space="preserve">La </w:t>
      </w:r>
      <w:hyperlink r:id="rId32" w:tooltip="Valeur d'entreprise" w:history="1">
        <w:r w:rsidRPr="00B92B60">
          <w:rPr>
            <w:rFonts w:ascii="Calibri" w:eastAsia="Times New Roman" w:hAnsi="Calibri" w:cs="Times New Roman"/>
            <w:b/>
            <w:bCs/>
            <w:color w:val="002060"/>
            <w:sz w:val="21"/>
            <w:szCs w:val="21"/>
            <w:lang w:eastAsia="fr-FR"/>
          </w:rPr>
          <w:t>valeur d'entreprise</w:t>
        </w:r>
      </w:hyperlink>
      <w:r w:rsidRPr="00B92B60">
        <w:rPr>
          <w:rFonts w:ascii="Calibri" w:eastAsia="Times New Roman" w:hAnsi="Calibri" w:cs="Times New Roman"/>
          <w:b/>
          <w:bCs/>
          <w:color w:val="002060"/>
          <w:sz w:val="21"/>
          <w:szCs w:val="21"/>
          <w:lang w:eastAsia="fr-FR"/>
        </w:rPr>
        <w:t xml:space="preserve">, une notion différente des capitaux propres </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Les comptables appellent « valeur d'entreprise » la valeur totale des actifs.</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Cette valeur inclut la valeur des fonds propres mais aussi la partie des actifs qui est financée par des dettes. Lors d'une transaction, le repreneur versera aux actionnaires la valeur des fonds propres, immédiatement. Puis, dans les années qui suivent, il reversera progressivement aux banquiers la valeur des actifs financés par la dette.</w:t>
      </w:r>
    </w:p>
    <w:p w:rsidR="00B23687" w:rsidRPr="003641DC" w:rsidRDefault="00B23687" w:rsidP="003B62A0">
      <w:pPr>
        <w:spacing w:after="12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S'il verse aux actionnaires un montant plus élevé que le montant des capitaux propres, on parle de « </w:t>
      </w:r>
      <w:hyperlink r:id="rId33" w:tooltip="Goodwill" w:history="1">
        <w:r w:rsidRPr="003641DC">
          <w:rPr>
            <w:rFonts w:ascii="Calibri" w:eastAsia="Times New Roman" w:hAnsi="Calibri" w:cs="Times New Roman"/>
            <w:color w:val="002060"/>
            <w:sz w:val="20"/>
            <w:szCs w:val="24"/>
            <w:lang w:eastAsia="fr-FR"/>
          </w:rPr>
          <w:t>survaleur</w:t>
        </w:r>
      </w:hyperlink>
      <w:r w:rsidRPr="003641DC">
        <w:rPr>
          <w:rFonts w:ascii="Calibri" w:eastAsia="Times New Roman" w:hAnsi="Calibri" w:cs="Times New Roman"/>
          <w:color w:val="002060"/>
          <w:sz w:val="20"/>
          <w:szCs w:val="24"/>
          <w:lang w:eastAsia="fr-FR"/>
        </w:rPr>
        <w:t> » ou d'« écart d'acquisition » (« </w:t>
      </w:r>
      <w:r w:rsidRPr="003641DC">
        <w:rPr>
          <w:rFonts w:ascii="Calibri" w:eastAsia="Times New Roman" w:hAnsi="Calibri" w:cs="Times New Roman"/>
          <w:i/>
          <w:iCs/>
          <w:color w:val="002060"/>
          <w:sz w:val="20"/>
          <w:szCs w:val="24"/>
          <w:lang w:eastAsia="fr-FR"/>
        </w:rPr>
        <w:t>goodwill</w:t>
      </w:r>
      <w:r w:rsidRPr="003641DC">
        <w:rPr>
          <w:rFonts w:ascii="Calibri" w:eastAsia="Times New Roman" w:hAnsi="Calibri" w:cs="Times New Roman"/>
          <w:color w:val="002060"/>
          <w:sz w:val="20"/>
          <w:szCs w:val="24"/>
          <w:lang w:eastAsia="fr-FR"/>
        </w:rPr>
        <w:t> », en anglais). L'écart entre capitaux propres et prix payé montre que la valeur accordée à l'entreprise par le repreneur est plus importante que la simple valeur de ses actifs, le plus souvent parce que le repreneur a confiance dans la capacité de l'entreprise à générer des bénéfices importants.</w:t>
      </w:r>
    </w:p>
    <w:p w:rsidR="00B23687" w:rsidRPr="00B92B60" w:rsidRDefault="00B23687" w:rsidP="003B62A0">
      <w:pPr>
        <w:spacing w:after="60" w:line="240" w:lineRule="auto"/>
        <w:jc w:val="both"/>
        <w:outlineLvl w:val="1"/>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 xml:space="preserve">Les capitaux propres en </w:t>
      </w:r>
      <w:hyperlink r:id="rId34" w:tooltip="Comptes consolidés" w:history="1">
        <w:r w:rsidRPr="00B92B60">
          <w:rPr>
            <w:rFonts w:ascii="Calibri" w:eastAsia="Times New Roman" w:hAnsi="Calibri" w:cs="Times New Roman"/>
            <w:b/>
            <w:bCs/>
            <w:color w:val="002060"/>
            <w:sz w:val="21"/>
            <w:szCs w:val="21"/>
            <w:lang w:eastAsia="fr-FR"/>
          </w:rPr>
          <w:t>comptes consolidés</w:t>
        </w:r>
      </w:hyperlink>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En ne revenant que très brièvement sur le principe des comptes consolidés, l'objectif est de présenter la situation financière d'un </w:t>
      </w:r>
      <w:hyperlink r:id="rId35" w:tooltip="Groupe de sociétés" w:history="1">
        <w:r w:rsidRPr="003641DC">
          <w:rPr>
            <w:rFonts w:ascii="Calibri" w:eastAsia="Times New Roman" w:hAnsi="Calibri" w:cs="Times New Roman"/>
            <w:color w:val="002060"/>
            <w:sz w:val="20"/>
            <w:szCs w:val="24"/>
            <w:lang w:eastAsia="fr-FR"/>
          </w:rPr>
          <w:t>groupe de sociétés</w:t>
        </w:r>
      </w:hyperlink>
      <w:r w:rsidRPr="003641DC">
        <w:rPr>
          <w:rFonts w:ascii="Calibri" w:eastAsia="Times New Roman" w:hAnsi="Calibri" w:cs="Times New Roman"/>
          <w:color w:val="002060"/>
          <w:sz w:val="20"/>
          <w:szCs w:val="24"/>
          <w:lang w:eastAsia="fr-FR"/>
        </w:rPr>
        <w:t xml:space="preserve"> comme si celles-ci ne formaient qu'une seule entité juridique.</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Le principe de base est de substituer à la valeur comptable des titres détenus par la société consolidante la quote-part des capitaux propres des filiales correspondant à ces titres.</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Ce faisant, le principe consiste à </w:t>
      </w:r>
      <w:r w:rsidR="006D4EB6" w:rsidRPr="003641DC">
        <w:rPr>
          <w:rFonts w:ascii="Calibri" w:eastAsia="Times New Roman" w:hAnsi="Calibri" w:cs="Times New Roman"/>
          <w:color w:val="002060"/>
          <w:sz w:val="20"/>
          <w:szCs w:val="24"/>
          <w:lang w:eastAsia="fr-FR"/>
        </w:rPr>
        <w:t>réévaluer</w:t>
      </w:r>
      <w:r w:rsidRPr="003641DC">
        <w:rPr>
          <w:rFonts w:ascii="Calibri" w:eastAsia="Times New Roman" w:hAnsi="Calibri" w:cs="Times New Roman"/>
          <w:color w:val="002060"/>
          <w:sz w:val="20"/>
          <w:szCs w:val="24"/>
          <w:lang w:eastAsia="fr-FR"/>
        </w:rPr>
        <w:t xml:space="preserve"> périodiquement la valeur des sociétés contrôlées par la société consolidante puis de déterminer la part revenant aux minoritaires.</w:t>
      </w:r>
    </w:p>
    <w:p w:rsidR="00B23687" w:rsidRPr="003641DC" w:rsidRDefault="00B23687" w:rsidP="003B62A0">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Il n'existe aucune définition unique des capitaux propres. En effet, cette notion peut prendre une signification différente en fonction des analyses et des référentiels comptables utilisés.</w:t>
      </w:r>
    </w:p>
    <w:p w:rsidR="00B23687" w:rsidRPr="003641DC" w:rsidRDefault="00B23687" w:rsidP="006D4EB6">
      <w:pPr>
        <w:spacing w:after="60" w:line="240" w:lineRule="auto"/>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Dans l'établissement des comptes consolidés, des différences substantielles existent, notamment pour corriger des notions directement liées au droit fiscal ou juridique interne :</w:t>
      </w:r>
    </w:p>
    <w:p w:rsidR="00B23687" w:rsidRPr="003641DC" w:rsidRDefault="00B23687" w:rsidP="006D4EB6">
      <w:pPr>
        <w:numPr>
          <w:ilvl w:val="0"/>
          <w:numId w:val="4"/>
        </w:numPr>
        <w:spacing w:after="60"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t xml:space="preserve">Les </w:t>
      </w:r>
      <w:hyperlink r:id="rId36" w:tooltip="Subvention d'investissement (page inexistante)" w:history="1">
        <w:r w:rsidRPr="003641DC">
          <w:rPr>
            <w:rFonts w:ascii="Calibri" w:eastAsia="Times New Roman" w:hAnsi="Calibri" w:cs="Times New Roman"/>
            <w:color w:val="002060"/>
            <w:sz w:val="20"/>
            <w:szCs w:val="24"/>
            <w:lang w:eastAsia="fr-FR"/>
          </w:rPr>
          <w:t>subventions d'investissement</w:t>
        </w:r>
      </w:hyperlink>
      <w:r w:rsidRPr="003641DC">
        <w:rPr>
          <w:rFonts w:ascii="Calibri" w:eastAsia="Times New Roman" w:hAnsi="Calibri" w:cs="Times New Roman"/>
          <w:color w:val="002060"/>
          <w:sz w:val="20"/>
          <w:szCs w:val="24"/>
          <w:lang w:eastAsia="fr-FR"/>
        </w:rPr>
        <w:t xml:space="preserve"> et les </w:t>
      </w:r>
      <w:hyperlink r:id="rId37" w:tooltip="Provision comptable" w:history="1">
        <w:r w:rsidRPr="003641DC">
          <w:rPr>
            <w:rFonts w:ascii="Calibri" w:eastAsia="Times New Roman" w:hAnsi="Calibri" w:cs="Times New Roman"/>
            <w:color w:val="002060"/>
            <w:sz w:val="20"/>
            <w:szCs w:val="24"/>
            <w:lang w:eastAsia="fr-FR"/>
          </w:rPr>
          <w:t>provisions comptables</w:t>
        </w:r>
      </w:hyperlink>
      <w:r w:rsidRPr="003641DC">
        <w:rPr>
          <w:rFonts w:ascii="Calibri" w:eastAsia="Times New Roman" w:hAnsi="Calibri" w:cs="Times New Roman"/>
          <w:color w:val="002060"/>
          <w:sz w:val="20"/>
          <w:szCs w:val="24"/>
          <w:lang w:eastAsia="fr-FR"/>
        </w:rPr>
        <w:t xml:space="preserve"> réglementées sont intégrées directement aux réserves en franchise de taxe ; les éventuelles créances ou dettes fiscales y afférant sont comptabilisées en impôts différés.</w:t>
      </w:r>
    </w:p>
    <w:p w:rsidR="00B23687" w:rsidRDefault="00B23687" w:rsidP="006D4EB6">
      <w:pPr>
        <w:numPr>
          <w:ilvl w:val="0"/>
          <w:numId w:val="4"/>
        </w:numPr>
        <w:spacing w:before="100" w:beforeAutospacing="1" w:after="100" w:afterAutospacing="1" w:line="240" w:lineRule="auto"/>
        <w:ind w:left="170" w:hanging="170"/>
        <w:jc w:val="both"/>
        <w:rPr>
          <w:rFonts w:ascii="Calibri" w:eastAsia="Times New Roman" w:hAnsi="Calibri" w:cs="Times New Roman"/>
          <w:color w:val="002060"/>
          <w:sz w:val="20"/>
          <w:szCs w:val="24"/>
          <w:lang w:eastAsia="fr-FR"/>
        </w:rPr>
      </w:pPr>
      <w:r w:rsidRPr="003641DC">
        <w:rPr>
          <w:rFonts w:ascii="Calibri" w:eastAsia="Times New Roman" w:hAnsi="Calibri" w:cs="Times New Roman"/>
          <w:color w:val="002060"/>
          <w:sz w:val="20"/>
          <w:szCs w:val="24"/>
          <w:lang w:eastAsia="fr-FR"/>
        </w:rPr>
        <w:lastRenderedPageBreak/>
        <w:t>De la même façon, les écarts de réévaluation et les écarts de mise en équivalence sont supprimés. L'évaluation des immobilisations corporelles et financières suivent alors les règles spécifiques applicables aux comptes consolidés (normes internationales IAS/IFRS ou normes internes suivant les cas).</w:t>
      </w:r>
    </w:p>
    <w:p w:rsidR="007F0AA8" w:rsidRPr="003B62A0" w:rsidRDefault="00040DA4" w:rsidP="003B62A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120" w:line="240" w:lineRule="auto"/>
        <w:jc w:val="center"/>
        <w:rPr>
          <w:rFonts w:cs="Arial,Bold"/>
          <w:b/>
          <w:bCs/>
          <w:color w:val="002060"/>
          <w:sz w:val="24"/>
          <w:szCs w:val="26"/>
        </w:rPr>
      </w:pPr>
      <w:r w:rsidRPr="003B62A0">
        <w:rPr>
          <w:rFonts w:cs="Arial,Bold"/>
          <w:b/>
          <w:bCs/>
          <w:color w:val="002060"/>
          <w:sz w:val="24"/>
          <w:szCs w:val="26"/>
        </w:rPr>
        <w:t>Les fonds propres des entreprises : aspects théoriques</w:t>
      </w:r>
    </w:p>
    <w:p w:rsidR="007F0AA8" w:rsidRPr="00B92B60" w:rsidRDefault="007F0AA8" w:rsidP="00040DA4">
      <w:pPr>
        <w:autoSpaceDE w:val="0"/>
        <w:autoSpaceDN w:val="0"/>
        <w:adjustRightInd w:val="0"/>
        <w:spacing w:after="60" w:line="240" w:lineRule="auto"/>
        <w:rPr>
          <w:rFonts w:cs="Arial,Bold"/>
          <w:b/>
          <w:bCs/>
          <w:color w:val="002060"/>
          <w:sz w:val="21"/>
          <w:szCs w:val="21"/>
        </w:rPr>
      </w:pPr>
      <w:r w:rsidRPr="00B92B60">
        <w:rPr>
          <w:rFonts w:cs="Arial,Bold"/>
          <w:b/>
          <w:bCs/>
          <w:color w:val="002060"/>
          <w:sz w:val="21"/>
          <w:szCs w:val="21"/>
        </w:rPr>
        <w:t>La nécessité des fonds propres</w:t>
      </w:r>
    </w:p>
    <w:p w:rsidR="007F0AA8" w:rsidRPr="007F0AA8" w:rsidRDefault="007F0AA8" w:rsidP="00040DA4">
      <w:pPr>
        <w:autoSpaceDE w:val="0"/>
        <w:autoSpaceDN w:val="0"/>
        <w:adjustRightInd w:val="0"/>
        <w:spacing w:after="60" w:line="240" w:lineRule="auto"/>
        <w:jc w:val="both"/>
        <w:rPr>
          <w:rFonts w:cs="TimesNewRoman"/>
          <w:color w:val="002060"/>
          <w:sz w:val="20"/>
          <w:szCs w:val="20"/>
        </w:rPr>
      </w:pPr>
      <w:r w:rsidRPr="007F0AA8">
        <w:rPr>
          <w:rFonts w:cs="TimesNewRoman"/>
          <w:color w:val="002060"/>
          <w:sz w:val="20"/>
          <w:szCs w:val="20"/>
        </w:rPr>
        <w:t xml:space="preserve">Plusieurs thèses ont été avancées par des courants de pensées différents pour justifier l’existence et la nécessité des fonds propres. Pour un grand nombre d’entre elles, les fonds propres ont pour fonction cardinale de garantir la solvabilité de l’entreprise. Ils constituent, pour une firme et les agents qui y sont engagés (actionnaires, prêteurs, fournisseurs), une réserve de sécurité permettant de faire face aux accidents d’origine interne ou externe. </w:t>
      </w:r>
    </w:p>
    <w:p w:rsidR="007F0AA8" w:rsidRPr="007F0AA8" w:rsidRDefault="007F0AA8" w:rsidP="00040DA4">
      <w:pPr>
        <w:autoSpaceDE w:val="0"/>
        <w:autoSpaceDN w:val="0"/>
        <w:adjustRightInd w:val="0"/>
        <w:spacing w:after="60" w:line="240" w:lineRule="auto"/>
        <w:jc w:val="both"/>
        <w:rPr>
          <w:rFonts w:cs="TimesNewRoman"/>
          <w:color w:val="002060"/>
          <w:sz w:val="20"/>
          <w:szCs w:val="20"/>
        </w:rPr>
      </w:pPr>
      <w:r w:rsidRPr="007F0AA8">
        <w:rPr>
          <w:rFonts w:cs="TimesNewRoman"/>
          <w:color w:val="002060"/>
          <w:sz w:val="20"/>
          <w:szCs w:val="20"/>
        </w:rPr>
        <w:t>Des fonds propres suffisants permettent ainsi aux firmes de supporter les c</w:t>
      </w:r>
      <w:r>
        <w:rPr>
          <w:rFonts w:cs="TimesNewRoman"/>
          <w:color w:val="002060"/>
          <w:sz w:val="20"/>
          <w:szCs w:val="20"/>
        </w:rPr>
        <w:t xml:space="preserve">onséquences de la </w:t>
      </w:r>
      <w:r w:rsidRPr="007F0AA8">
        <w:rPr>
          <w:rFonts w:cs="TimesNewRoman"/>
          <w:color w:val="002060"/>
          <w:sz w:val="20"/>
          <w:szCs w:val="20"/>
        </w:rPr>
        <w:t>défaillance de clients importants ou de pertes de</w:t>
      </w:r>
      <w:r>
        <w:rPr>
          <w:rFonts w:cs="TimesNewRoman"/>
          <w:color w:val="002060"/>
          <w:sz w:val="20"/>
          <w:szCs w:val="20"/>
        </w:rPr>
        <w:t xml:space="preserve"> marché. De même, en période de </w:t>
      </w:r>
      <w:r w:rsidRPr="007F0AA8">
        <w:rPr>
          <w:rFonts w:cs="TimesNewRoman"/>
          <w:color w:val="002060"/>
          <w:sz w:val="20"/>
          <w:szCs w:val="20"/>
        </w:rPr>
        <w:t xml:space="preserve">ralentissement conjoncturel, les entreprises peu endettées sont </w:t>
      </w:r>
      <w:r>
        <w:rPr>
          <w:rFonts w:cs="TimesNewRoman"/>
          <w:color w:val="002060"/>
          <w:sz w:val="20"/>
          <w:szCs w:val="20"/>
        </w:rPr>
        <w:t xml:space="preserve">avantagées par rapport à celles </w:t>
      </w:r>
      <w:r w:rsidRPr="007F0AA8">
        <w:rPr>
          <w:rFonts w:cs="TimesNewRoman"/>
          <w:color w:val="002060"/>
          <w:sz w:val="20"/>
          <w:szCs w:val="20"/>
        </w:rPr>
        <w:t xml:space="preserve">qui ont privilégié l’emprunt au détriment des fonds propres. </w:t>
      </w:r>
      <w:r>
        <w:rPr>
          <w:rFonts w:cs="TimesNewRoman"/>
          <w:color w:val="002060"/>
          <w:sz w:val="20"/>
          <w:szCs w:val="20"/>
        </w:rPr>
        <w:t xml:space="preserve">Les premières peuvent étaler </w:t>
      </w:r>
      <w:r w:rsidRPr="007F0AA8">
        <w:rPr>
          <w:rFonts w:cs="TimesNewRoman"/>
          <w:color w:val="002060"/>
          <w:sz w:val="20"/>
          <w:szCs w:val="20"/>
        </w:rPr>
        <w:t xml:space="preserve">dans le temps la rémunération de leurs apporteurs en </w:t>
      </w:r>
      <w:r>
        <w:rPr>
          <w:rFonts w:cs="TimesNewRoman"/>
          <w:color w:val="002060"/>
          <w:sz w:val="20"/>
          <w:szCs w:val="20"/>
        </w:rPr>
        <w:t xml:space="preserve">capitaux externes alors que les </w:t>
      </w:r>
      <w:r w:rsidRPr="007F0AA8">
        <w:rPr>
          <w:rFonts w:cs="TimesNewRoman"/>
          <w:color w:val="002060"/>
          <w:sz w:val="20"/>
          <w:szCs w:val="20"/>
        </w:rPr>
        <w:t>secondes doivent faire face à des échéances obligato</w:t>
      </w:r>
      <w:r>
        <w:rPr>
          <w:rFonts w:cs="TimesNewRoman"/>
          <w:color w:val="002060"/>
          <w:sz w:val="20"/>
          <w:szCs w:val="20"/>
        </w:rPr>
        <w:t xml:space="preserve">ires. En outre, selon le niveau </w:t>
      </w:r>
      <w:r w:rsidRPr="007F0AA8">
        <w:rPr>
          <w:rFonts w:cs="TimesNewRoman"/>
          <w:color w:val="002060"/>
          <w:sz w:val="20"/>
          <w:szCs w:val="20"/>
        </w:rPr>
        <w:t>d’endettement, les variations de taux d’intérêt ont une influen</w:t>
      </w:r>
      <w:r>
        <w:rPr>
          <w:rFonts w:cs="TimesNewRoman"/>
          <w:color w:val="002060"/>
          <w:sz w:val="20"/>
          <w:szCs w:val="20"/>
        </w:rPr>
        <w:t xml:space="preserve">ce plus ou moins grande sur les </w:t>
      </w:r>
      <w:r w:rsidRPr="007F0AA8">
        <w:rPr>
          <w:rFonts w:cs="TimesNewRoman"/>
          <w:color w:val="002060"/>
          <w:sz w:val="20"/>
          <w:szCs w:val="20"/>
        </w:rPr>
        <w:t>prélèvements financiers que les entreprises doivent supporter.</w:t>
      </w:r>
    </w:p>
    <w:p w:rsidR="007F0AA8" w:rsidRPr="007F0AA8" w:rsidRDefault="007F0AA8" w:rsidP="00040DA4">
      <w:pPr>
        <w:autoSpaceDE w:val="0"/>
        <w:autoSpaceDN w:val="0"/>
        <w:adjustRightInd w:val="0"/>
        <w:spacing w:after="60" w:line="240" w:lineRule="auto"/>
        <w:jc w:val="both"/>
        <w:rPr>
          <w:rFonts w:cs="TimesNewRoman"/>
          <w:color w:val="002060"/>
          <w:sz w:val="20"/>
          <w:szCs w:val="20"/>
        </w:rPr>
      </w:pPr>
      <w:r w:rsidRPr="007F0AA8">
        <w:rPr>
          <w:rFonts w:cs="TimesNewRoman"/>
          <w:color w:val="002060"/>
          <w:sz w:val="20"/>
          <w:szCs w:val="20"/>
        </w:rPr>
        <w:t xml:space="preserve">Les fonds propres en tant que garanties assurent, </w:t>
      </w:r>
      <w:r>
        <w:rPr>
          <w:rFonts w:cs="TimesNewRoman"/>
          <w:color w:val="002060"/>
          <w:sz w:val="20"/>
          <w:szCs w:val="20"/>
        </w:rPr>
        <w:t xml:space="preserve">lorsqu’ils sont importants, non </w:t>
      </w:r>
      <w:r w:rsidRPr="007F0AA8">
        <w:rPr>
          <w:rFonts w:cs="TimesNewRoman"/>
          <w:color w:val="002060"/>
          <w:sz w:val="20"/>
          <w:szCs w:val="20"/>
        </w:rPr>
        <w:t>seulement l’indépendance financière des entreprises vis-à-vis des tiers, m</w:t>
      </w:r>
      <w:r>
        <w:rPr>
          <w:rFonts w:cs="TimesNewRoman"/>
          <w:color w:val="002060"/>
          <w:sz w:val="20"/>
          <w:szCs w:val="20"/>
        </w:rPr>
        <w:t xml:space="preserve">ais permettent </w:t>
      </w:r>
      <w:r w:rsidRPr="007F0AA8">
        <w:rPr>
          <w:rFonts w:cs="TimesNewRoman"/>
          <w:color w:val="002060"/>
          <w:sz w:val="20"/>
          <w:szCs w:val="20"/>
        </w:rPr>
        <w:t>également à ces dernières d’obtenir plus facilement, e</w:t>
      </w:r>
      <w:r>
        <w:rPr>
          <w:rFonts w:cs="TimesNewRoman"/>
          <w:color w:val="002060"/>
          <w:sz w:val="20"/>
          <w:szCs w:val="20"/>
        </w:rPr>
        <w:t xml:space="preserve">t à des conditions souvent plus </w:t>
      </w:r>
      <w:r w:rsidRPr="007F0AA8">
        <w:rPr>
          <w:rFonts w:cs="TimesNewRoman"/>
          <w:color w:val="002060"/>
          <w:sz w:val="20"/>
          <w:szCs w:val="20"/>
        </w:rPr>
        <w:t>avantageuses, des emprunts pour financer des investisse</w:t>
      </w:r>
      <w:r>
        <w:rPr>
          <w:rFonts w:cs="TimesNewRoman"/>
          <w:color w:val="002060"/>
          <w:sz w:val="20"/>
          <w:szCs w:val="20"/>
        </w:rPr>
        <w:t xml:space="preserve">ments (physiques ou financiers) </w:t>
      </w:r>
      <w:r w:rsidRPr="007F0AA8">
        <w:rPr>
          <w:rFonts w:cs="TimesNewRoman"/>
          <w:color w:val="002060"/>
          <w:sz w:val="20"/>
          <w:szCs w:val="20"/>
        </w:rPr>
        <w:t>nécessaires à leur développement (</w:t>
      </w:r>
      <w:r w:rsidRPr="007F0AA8">
        <w:rPr>
          <w:rFonts w:cs="TimesNewRoman"/>
          <w:color w:val="002060"/>
          <w:sz w:val="16"/>
          <w:szCs w:val="16"/>
        </w:rPr>
        <w:t>surtout s’il n’y a pas de garanties réelles</w:t>
      </w:r>
      <w:r w:rsidRPr="007F0AA8">
        <w:rPr>
          <w:rFonts w:ascii="TimesNewRoman" w:hAnsi="TimesNewRoman" w:cs="TimesNewRoman"/>
          <w:color w:val="002060"/>
          <w:sz w:val="16"/>
          <w:szCs w:val="16"/>
        </w:rPr>
        <w:t xml:space="preserve">), </w:t>
      </w:r>
      <w:r w:rsidRPr="007F0AA8">
        <w:rPr>
          <w:rFonts w:cs="TimesNewRoman"/>
          <w:color w:val="002060"/>
          <w:sz w:val="20"/>
          <w:szCs w:val="20"/>
        </w:rPr>
        <w:t>voire à leur survie.</w:t>
      </w:r>
    </w:p>
    <w:p w:rsidR="007F0AA8" w:rsidRPr="007F0AA8" w:rsidRDefault="007F0AA8" w:rsidP="00040DA4">
      <w:pPr>
        <w:autoSpaceDE w:val="0"/>
        <w:autoSpaceDN w:val="0"/>
        <w:adjustRightInd w:val="0"/>
        <w:spacing w:after="60" w:line="240" w:lineRule="auto"/>
        <w:jc w:val="both"/>
        <w:rPr>
          <w:rFonts w:cs="TimesNewRoman"/>
          <w:color w:val="002060"/>
          <w:sz w:val="20"/>
          <w:szCs w:val="20"/>
        </w:rPr>
      </w:pPr>
      <w:r w:rsidRPr="007F0AA8">
        <w:rPr>
          <w:rFonts w:cs="TimesNewRoman"/>
          <w:color w:val="002060"/>
          <w:sz w:val="20"/>
          <w:szCs w:val="20"/>
        </w:rPr>
        <w:t>Les fonds propres ont, en tout état de cause, une</w:t>
      </w:r>
      <w:r>
        <w:rPr>
          <w:rFonts w:cs="TimesNewRoman"/>
          <w:color w:val="002060"/>
          <w:sz w:val="20"/>
          <w:szCs w:val="20"/>
        </w:rPr>
        <w:t xml:space="preserve"> importance primordiale pour le </w:t>
      </w:r>
      <w:r w:rsidRPr="007F0AA8">
        <w:rPr>
          <w:rFonts w:cs="TimesNewRoman"/>
          <w:color w:val="002060"/>
          <w:sz w:val="20"/>
          <w:szCs w:val="20"/>
        </w:rPr>
        <w:t>financement des investissements chez les entreprises de créat</w:t>
      </w:r>
      <w:r>
        <w:rPr>
          <w:rFonts w:cs="TimesNewRoman"/>
          <w:color w:val="002060"/>
          <w:sz w:val="20"/>
          <w:szCs w:val="20"/>
        </w:rPr>
        <w:t xml:space="preserve">ion récente et/ou innovantes au </w:t>
      </w:r>
      <w:r w:rsidRPr="007F0AA8">
        <w:rPr>
          <w:rFonts w:cs="TimesNewRoman"/>
          <w:color w:val="002060"/>
          <w:sz w:val="20"/>
          <w:szCs w:val="20"/>
        </w:rPr>
        <w:t>sens de Schumpeter, particulièrement exposées aux risques</w:t>
      </w:r>
      <w:r>
        <w:rPr>
          <w:rFonts w:cs="TimesNewRoman"/>
          <w:color w:val="002060"/>
          <w:sz w:val="20"/>
          <w:szCs w:val="20"/>
        </w:rPr>
        <w:t xml:space="preserve">. Celles-ci n’ont souvent qu’un </w:t>
      </w:r>
      <w:r w:rsidRPr="007F0AA8">
        <w:rPr>
          <w:rFonts w:cs="TimesNewRoman"/>
          <w:color w:val="002060"/>
          <w:sz w:val="20"/>
          <w:szCs w:val="20"/>
        </w:rPr>
        <w:t>accès limité aux capitaux d’emprunt en raison de l’insuffis</w:t>
      </w:r>
      <w:r>
        <w:rPr>
          <w:rFonts w:cs="TimesNewRoman"/>
          <w:color w:val="002060"/>
          <w:sz w:val="20"/>
          <w:szCs w:val="20"/>
        </w:rPr>
        <w:t xml:space="preserve">ance des garanties offertes. De </w:t>
      </w:r>
      <w:r w:rsidRPr="007F0AA8">
        <w:rPr>
          <w:rFonts w:cs="TimesNewRoman"/>
          <w:color w:val="002060"/>
          <w:sz w:val="20"/>
          <w:szCs w:val="20"/>
        </w:rPr>
        <w:t>plus, durant la phase de démarrage, elles ne peuvent pas dég</w:t>
      </w:r>
      <w:r>
        <w:rPr>
          <w:rFonts w:cs="TimesNewRoman"/>
          <w:color w:val="002060"/>
          <w:sz w:val="20"/>
          <w:szCs w:val="20"/>
        </w:rPr>
        <w:t xml:space="preserve">ager assez d’autofinancement et </w:t>
      </w:r>
      <w:r w:rsidRPr="007F0AA8">
        <w:rPr>
          <w:rFonts w:cs="TimesNewRoman"/>
          <w:color w:val="002060"/>
          <w:sz w:val="20"/>
          <w:szCs w:val="20"/>
        </w:rPr>
        <w:t>subissent fréquemment des pertes initiales élevées, qui ne peuvent être compe</w:t>
      </w:r>
      <w:r>
        <w:rPr>
          <w:rFonts w:cs="TimesNewRoman"/>
          <w:color w:val="002060"/>
          <w:sz w:val="20"/>
          <w:szCs w:val="20"/>
        </w:rPr>
        <w:t xml:space="preserve">nsées que par </w:t>
      </w:r>
      <w:r w:rsidRPr="007F0AA8">
        <w:rPr>
          <w:rFonts w:cs="TimesNewRoman"/>
          <w:color w:val="002060"/>
          <w:sz w:val="20"/>
          <w:szCs w:val="20"/>
        </w:rPr>
        <w:t>des capitaux à risques suffisants. Une dotation en fonds propre</w:t>
      </w:r>
      <w:r>
        <w:rPr>
          <w:rFonts w:cs="TimesNewRoman"/>
          <w:color w:val="002060"/>
          <w:sz w:val="20"/>
          <w:szCs w:val="20"/>
        </w:rPr>
        <w:t xml:space="preserve">s trop faible constitue dans de </w:t>
      </w:r>
      <w:r w:rsidRPr="007F0AA8">
        <w:rPr>
          <w:rFonts w:cs="TimesNewRoman"/>
          <w:color w:val="002060"/>
          <w:sz w:val="20"/>
          <w:szCs w:val="20"/>
        </w:rPr>
        <w:t>tels cas un obstacle à l’investissement et peut donc entraver</w:t>
      </w:r>
      <w:r>
        <w:rPr>
          <w:rFonts w:cs="TimesNewRoman"/>
          <w:color w:val="002060"/>
          <w:sz w:val="20"/>
          <w:szCs w:val="20"/>
        </w:rPr>
        <w:t xml:space="preserve"> l’évolution structurelle et la </w:t>
      </w:r>
      <w:r w:rsidRPr="007F0AA8">
        <w:rPr>
          <w:rFonts w:cs="TimesNewRoman"/>
          <w:color w:val="002060"/>
          <w:sz w:val="20"/>
          <w:szCs w:val="20"/>
        </w:rPr>
        <w:t>croissance d’une économie.</w:t>
      </w:r>
    </w:p>
    <w:p w:rsidR="00FA2D9E" w:rsidRDefault="007F0AA8" w:rsidP="007F0AA8">
      <w:pPr>
        <w:autoSpaceDE w:val="0"/>
        <w:autoSpaceDN w:val="0"/>
        <w:adjustRightInd w:val="0"/>
        <w:spacing w:after="120" w:line="240" w:lineRule="auto"/>
        <w:jc w:val="both"/>
        <w:rPr>
          <w:rFonts w:cs="TimesNewRoman"/>
          <w:color w:val="002060"/>
          <w:sz w:val="20"/>
          <w:szCs w:val="20"/>
        </w:rPr>
      </w:pPr>
      <w:r w:rsidRPr="007F0AA8">
        <w:rPr>
          <w:rFonts w:cs="TimesNewRoman"/>
          <w:color w:val="002060"/>
          <w:sz w:val="20"/>
          <w:szCs w:val="20"/>
        </w:rPr>
        <w:t>L’importance déjà signalée que revêtent les fonds pr</w:t>
      </w:r>
      <w:r>
        <w:rPr>
          <w:rFonts w:cs="TimesNewRoman"/>
          <w:color w:val="002060"/>
          <w:sz w:val="20"/>
          <w:szCs w:val="20"/>
        </w:rPr>
        <w:t xml:space="preserve">opres en tant que garants de la </w:t>
      </w:r>
      <w:r w:rsidRPr="007F0AA8">
        <w:rPr>
          <w:rFonts w:cs="TimesNewRoman"/>
          <w:color w:val="002060"/>
          <w:sz w:val="20"/>
          <w:szCs w:val="20"/>
        </w:rPr>
        <w:t>substance patrimoniale et amortisseurs de pertes est parti</w:t>
      </w:r>
      <w:r>
        <w:rPr>
          <w:rFonts w:cs="TimesNewRoman"/>
          <w:color w:val="002060"/>
          <w:sz w:val="20"/>
          <w:szCs w:val="20"/>
        </w:rPr>
        <w:t xml:space="preserve">culièrement évidente durant les </w:t>
      </w:r>
      <w:r w:rsidRPr="007F0AA8">
        <w:rPr>
          <w:rFonts w:cs="TimesNewRoman"/>
          <w:color w:val="002060"/>
          <w:sz w:val="20"/>
          <w:szCs w:val="20"/>
        </w:rPr>
        <w:t xml:space="preserve">phases de récession où les situations d’insolvabilité se </w:t>
      </w:r>
      <w:r>
        <w:rPr>
          <w:rFonts w:cs="TimesNewRoman"/>
          <w:color w:val="002060"/>
          <w:sz w:val="20"/>
          <w:szCs w:val="20"/>
        </w:rPr>
        <w:t xml:space="preserve">multiplient. Le manque de fonds </w:t>
      </w:r>
      <w:r w:rsidRPr="007F0AA8">
        <w:rPr>
          <w:rFonts w:cs="TimesNewRoman"/>
          <w:color w:val="002060"/>
          <w:sz w:val="20"/>
          <w:szCs w:val="20"/>
        </w:rPr>
        <w:t xml:space="preserve">propres se traduit alors par de nombreuses faillites et </w:t>
      </w:r>
      <w:r>
        <w:rPr>
          <w:rFonts w:cs="TimesNewRoman"/>
          <w:color w:val="002060"/>
          <w:sz w:val="20"/>
          <w:szCs w:val="20"/>
        </w:rPr>
        <w:t xml:space="preserve">des suppressions d’emplois, qui </w:t>
      </w:r>
      <w:r w:rsidRPr="007F0AA8">
        <w:rPr>
          <w:rFonts w:cs="TimesNewRoman"/>
          <w:color w:val="002060"/>
          <w:sz w:val="20"/>
          <w:szCs w:val="20"/>
        </w:rPr>
        <w:t>affaiblissent les économies.</w:t>
      </w:r>
    </w:p>
    <w:p w:rsidR="00FA2D9E" w:rsidRPr="00B92B60" w:rsidRDefault="00FA2D9E" w:rsidP="003B62A0">
      <w:pPr>
        <w:spacing w:after="60" w:line="240" w:lineRule="auto"/>
        <w:outlineLvl w:val="3"/>
        <w:rPr>
          <w:rFonts w:ascii="Calibri" w:eastAsia="Times New Roman" w:hAnsi="Calibri" w:cs="Times New Roman"/>
          <w:b/>
          <w:bCs/>
          <w:color w:val="002060"/>
          <w:sz w:val="21"/>
          <w:szCs w:val="21"/>
          <w:lang w:eastAsia="fr-FR"/>
        </w:rPr>
      </w:pPr>
      <w:r w:rsidRPr="00B92B60">
        <w:rPr>
          <w:rFonts w:ascii="Calibri" w:eastAsia="Times New Roman" w:hAnsi="Calibri" w:cs="Times New Roman"/>
          <w:b/>
          <w:bCs/>
          <w:color w:val="002060"/>
          <w:sz w:val="21"/>
          <w:szCs w:val="21"/>
          <w:lang w:eastAsia="fr-FR"/>
        </w:rPr>
        <w:t>Le levier des fonds propres</w:t>
      </w:r>
    </w:p>
    <w:p w:rsidR="00FA2D9E" w:rsidRPr="007E6961" w:rsidRDefault="00FA2D9E" w:rsidP="00040DA4">
      <w:pPr>
        <w:spacing w:after="60" w:line="240" w:lineRule="auto"/>
        <w:jc w:val="both"/>
        <w:rPr>
          <w:rFonts w:eastAsia="Times New Roman" w:cs="Times New Roman"/>
          <w:color w:val="002060"/>
          <w:sz w:val="20"/>
          <w:szCs w:val="24"/>
          <w:lang w:eastAsia="fr-FR"/>
        </w:rPr>
      </w:pPr>
      <w:r w:rsidRPr="00C63EF9">
        <w:rPr>
          <w:rFonts w:eastAsia="Times New Roman" w:cs="Times New Roman"/>
          <w:bCs/>
          <w:color w:val="002060"/>
          <w:sz w:val="20"/>
          <w:szCs w:val="24"/>
          <w:lang w:eastAsia="fr-FR"/>
        </w:rPr>
        <w:t>Le contexte économique a beaucoup changé suite à la crise</w:t>
      </w:r>
      <w:r w:rsidRPr="007E6961">
        <w:rPr>
          <w:rFonts w:eastAsia="Times New Roman" w:cs="Times New Roman"/>
          <w:color w:val="002060"/>
          <w:sz w:val="20"/>
          <w:szCs w:val="24"/>
          <w:lang w:eastAsia="fr-FR"/>
        </w:rPr>
        <w:t xml:space="preserve"> : avant 2008, nous étions dans la période de l’effet de levier de la dette… </w:t>
      </w:r>
      <w:r w:rsidRPr="00B92B60">
        <w:rPr>
          <w:rFonts w:eastAsia="Times New Roman" w:cs="Times New Roman"/>
          <w:bCs/>
          <w:color w:val="002060"/>
          <w:sz w:val="20"/>
          <w:szCs w:val="24"/>
          <w:lang w:eastAsia="fr-FR"/>
        </w:rPr>
        <w:t>désormais, nous sommes dans la période de</w:t>
      </w:r>
      <w:r w:rsidRPr="007E6961">
        <w:rPr>
          <w:rFonts w:eastAsia="Times New Roman" w:cs="Times New Roman"/>
          <w:b/>
          <w:bCs/>
          <w:color w:val="002060"/>
          <w:sz w:val="20"/>
          <w:szCs w:val="24"/>
          <w:lang w:eastAsia="fr-FR"/>
        </w:rPr>
        <w:t xml:space="preserve"> </w:t>
      </w:r>
      <w:r w:rsidRPr="007E6961">
        <w:rPr>
          <w:rFonts w:eastAsia="Times New Roman" w:cs="Times New Roman"/>
          <w:b/>
          <w:bCs/>
          <w:color w:val="002060"/>
          <w:sz w:val="20"/>
          <w:szCs w:val="24"/>
          <w:u w:val="single"/>
          <w:lang w:eastAsia="fr-FR"/>
        </w:rPr>
        <w:t>l’effet de levier des fonds propres</w:t>
      </w:r>
      <w:r w:rsidRPr="007E6961">
        <w:rPr>
          <w:rFonts w:eastAsia="Times New Roman" w:cs="Times New Roman"/>
          <w:color w:val="002060"/>
          <w:sz w:val="20"/>
          <w:szCs w:val="24"/>
          <w:lang w:eastAsia="fr-FR"/>
        </w:rPr>
        <w:t>.</w:t>
      </w:r>
    </w:p>
    <w:p w:rsidR="00FA2D9E" w:rsidRDefault="00FA2D9E" w:rsidP="00040DA4">
      <w:pPr>
        <w:spacing w:after="60" w:line="240" w:lineRule="auto"/>
        <w:jc w:val="both"/>
        <w:rPr>
          <w:rFonts w:eastAsia="Times New Roman" w:cs="Times New Roman"/>
          <w:color w:val="002060"/>
          <w:sz w:val="20"/>
          <w:szCs w:val="24"/>
          <w:lang w:eastAsia="fr-FR"/>
        </w:rPr>
      </w:pPr>
      <w:r w:rsidRPr="007E6961">
        <w:rPr>
          <w:rFonts w:eastAsia="Times New Roman" w:cs="Times New Roman"/>
          <w:color w:val="002060"/>
          <w:sz w:val="20"/>
          <w:szCs w:val="24"/>
          <w:lang w:eastAsia="fr-FR"/>
        </w:rPr>
        <w:t xml:space="preserve">Les PME françaises, souvent peu capitalisées, souffrent de déficits chroniques de trésorerie en cette période où les établissements bancaires resserrent leurs conditions de crédits. Depuis 2008, la dette n’est plus le meilleur levier de croissance dans le sens où la recherche de financements est devenue  une procédure lourde au résultat aléatoire. </w:t>
      </w:r>
    </w:p>
    <w:p w:rsidR="00FA2D9E" w:rsidRDefault="00FA2D9E" w:rsidP="00040DA4">
      <w:pPr>
        <w:spacing w:after="60" w:line="240" w:lineRule="auto"/>
        <w:jc w:val="both"/>
        <w:rPr>
          <w:rFonts w:eastAsia="Times New Roman" w:cs="Times New Roman"/>
          <w:color w:val="002060"/>
          <w:sz w:val="20"/>
          <w:szCs w:val="24"/>
          <w:lang w:eastAsia="fr-FR"/>
        </w:rPr>
      </w:pPr>
      <w:r w:rsidRPr="007E6961">
        <w:rPr>
          <w:rFonts w:eastAsia="Times New Roman" w:cs="Times New Roman"/>
          <w:color w:val="002060"/>
          <w:sz w:val="20"/>
          <w:szCs w:val="24"/>
          <w:lang w:eastAsia="fr-FR"/>
        </w:rPr>
        <w:t xml:space="preserve">Les banquiers sont devenus très frileux face à des entreprises qui ne sont pas toujours convaincantes à propos e la pérennité future de leur rentabilité. L’effet de levier de la dette jouait sur la base des rentabilités passées qui, aujourd’hui, n’augurent plus de rentabilités à venir. </w:t>
      </w:r>
    </w:p>
    <w:p w:rsidR="00FA2D9E" w:rsidRPr="007E6961" w:rsidRDefault="00FA2D9E" w:rsidP="00040DA4">
      <w:pPr>
        <w:spacing w:after="60" w:line="240" w:lineRule="auto"/>
        <w:jc w:val="both"/>
        <w:rPr>
          <w:rFonts w:eastAsia="Times New Roman" w:cs="Times New Roman"/>
          <w:color w:val="002060"/>
          <w:sz w:val="20"/>
          <w:szCs w:val="24"/>
          <w:lang w:eastAsia="fr-FR"/>
        </w:rPr>
      </w:pPr>
      <w:r w:rsidRPr="00040DA4">
        <w:rPr>
          <w:rFonts w:eastAsia="Times New Roman" w:cs="Times New Roman"/>
          <w:b/>
          <w:bCs/>
          <w:color w:val="002060"/>
          <w:sz w:val="20"/>
          <w:szCs w:val="24"/>
          <w:shd w:val="clear" w:color="auto" w:fill="FFFFCC"/>
          <w:lang w:eastAsia="fr-FR"/>
        </w:rPr>
        <w:t>L’entreprise de demain devra avoir la structure capitalistique qui lui permettra d’amortir les aléas conjoncturels</w:t>
      </w:r>
      <w:r w:rsidRPr="007E6961">
        <w:rPr>
          <w:rFonts w:eastAsia="Times New Roman" w:cs="Times New Roman"/>
          <w:color w:val="002060"/>
          <w:sz w:val="20"/>
          <w:szCs w:val="24"/>
          <w:lang w:eastAsia="fr-FR"/>
        </w:rPr>
        <w:t xml:space="preserve">. Dans ce sens, aujourd’hui, </w:t>
      </w:r>
      <w:r w:rsidRPr="007E6961">
        <w:rPr>
          <w:rFonts w:eastAsia="Times New Roman" w:cs="Times New Roman"/>
          <w:b/>
          <w:bCs/>
          <w:color w:val="002060"/>
          <w:sz w:val="20"/>
          <w:szCs w:val="24"/>
          <w:lang w:eastAsia="fr-FR"/>
        </w:rPr>
        <w:t>l’ouverture du capital est bien le meilleur levier de croissance pour l’entreprise</w:t>
      </w:r>
      <w:r w:rsidRPr="007E6961">
        <w:rPr>
          <w:rFonts w:eastAsia="Times New Roman" w:cs="Times New Roman"/>
          <w:color w:val="002060"/>
          <w:sz w:val="20"/>
          <w:szCs w:val="24"/>
          <w:lang w:eastAsia="fr-FR"/>
        </w:rPr>
        <w:t xml:space="preserve"> qui, en regard, doit néanmoins </w:t>
      </w:r>
      <w:r w:rsidRPr="007E6961">
        <w:rPr>
          <w:rFonts w:eastAsia="Times New Roman" w:cs="Times New Roman"/>
          <w:b/>
          <w:bCs/>
          <w:color w:val="002060"/>
          <w:sz w:val="20"/>
          <w:szCs w:val="24"/>
          <w:lang w:eastAsia="fr-FR"/>
        </w:rPr>
        <w:t>prouver la qualité de son management et partager sa vision stratégique</w:t>
      </w:r>
      <w:r w:rsidRPr="007E6961">
        <w:rPr>
          <w:rFonts w:eastAsia="Times New Roman" w:cs="Times New Roman"/>
          <w:color w:val="002060"/>
          <w:sz w:val="20"/>
          <w:szCs w:val="24"/>
          <w:lang w:eastAsia="fr-FR"/>
        </w:rPr>
        <w:t>. Ces deux éléments jouent un rôle essentiel dans la recherche de fonds propres. Cela nécessite aussi une grande crédibilité de son Business Model.</w:t>
      </w:r>
    </w:p>
    <w:p w:rsidR="00FA2D9E" w:rsidRPr="007E6961" w:rsidRDefault="00FA2D9E" w:rsidP="00040DA4">
      <w:pPr>
        <w:spacing w:after="60" w:line="240" w:lineRule="auto"/>
        <w:jc w:val="both"/>
        <w:rPr>
          <w:rFonts w:eastAsia="Times New Roman" w:cs="Times New Roman"/>
          <w:color w:val="002060"/>
          <w:sz w:val="20"/>
          <w:szCs w:val="24"/>
          <w:lang w:eastAsia="fr-FR"/>
        </w:rPr>
      </w:pPr>
      <w:r w:rsidRPr="007E6961">
        <w:rPr>
          <w:rFonts w:eastAsia="Times New Roman" w:cs="Times New Roman"/>
          <w:color w:val="002060"/>
          <w:sz w:val="20"/>
          <w:szCs w:val="24"/>
          <w:lang w:eastAsia="fr-FR"/>
        </w:rPr>
        <w:t xml:space="preserve">Dans tous les cas, </w:t>
      </w:r>
      <w:r w:rsidRPr="00040DA4">
        <w:rPr>
          <w:rFonts w:eastAsia="Times New Roman" w:cs="Times New Roman"/>
          <w:b/>
          <w:bCs/>
          <w:color w:val="002060"/>
          <w:sz w:val="20"/>
          <w:szCs w:val="24"/>
          <w:shd w:val="clear" w:color="auto" w:fill="FFFFCC"/>
          <w:lang w:eastAsia="fr-FR"/>
        </w:rPr>
        <w:t>un bon niveau de Fonds Propres permet de créer de la valeur et d’anticiper les besoins futurs de financements</w:t>
      </w:r>
      <w:r w:rsidRPr="007E6961">
        <w:rPr>
          <w:rFonts w:eastAsia="Times New Roman" w:cs="Times New Roman"/>
          <w:color w:val="002060"/>
          <w:sz w:val="20"/>
          <w:szCs w:val="24"/>
          <w:lang w:eastAsia="fr-FR"/>
        </w:rPr>
        <w:t>. Il est toujours préférable de gérer et anticiper la situation financière de l’entreprise afin de ne pas subir les exigences des financiers et d’en faire des partenaires.</w:t>
      </w:r>
    </w:p>
    <w:p w:rsidR="00FA2D9E" w:rsidRPr="007E6961" w:rsidRDefault="00FA2D9E" w:rsidP="00040DA4">
      <w:pPr>
        <w:spacing w:after="60" w:line="240" w:lineRule="auto"/>
        <w:jc w:val="both"/>
        <w:rPr>
          <w:rFonts w:eastAsia="Times New Roman" w:cs="Times New Roman"/>
          <w:color w:val="002060"/>
          <w:sz w:val="20"/>
          <w:szCs w:val="24"/>
          <w:lang w:eastAsia="fr-FR"/>
        </w:rPr>
      </w:pPr>
      <w:r w:rsidRPr="007E6961">
        <w:rPr>
          <w:rFonts w:eastAsia="Times New Roman" w:cs="Times New Roman"/>
          <w:color w:val="002060"/>
          <w:sz w:val="20"/>
          <w:szCs w:val="24"/>
          <w:lang w:eastAsia="fr-FR"/>
        </w:rPr>
        <w:t>Les Capitaux Propres, Comptes Courants et financements à long terme sont les seules sources de financement du Haut de Bilan dont la première ressource est la CAF, qui reflète les retours sur investissements.</w:t>
      </w:r>
    </w:p>
    <w:p w:rsidR="00FA2D9E" w:rsidRPr="007E6961" w:rsidRDefault="00FA2D9E" w:rsidP="00040DA4">
      <w:pPr>
        <w:spacing w:after="60" w:line="240" w:lineRule="auto"/>
        <w:jc w:val="both"/>
        <w:rPr>
          <w:rFonts w:eastAsia="Times New Roman" w:cs="Times New Roman"/>
          <w:color w:val="002060"/>
          <w:sz w:val="20"/>
          <w:szCs w:val="24"/>
          <w:lang w:eastAsia="fr-FR"/>
        </w:rPr>
      </w:pPr>
      <w:r w:rsidRPr="00C63EF9">
        <w:rPr>
          <w:rFonts w:eastAsia="Times New Roman" w:cs="Times New Roman"/>
          <w:b/>
          <w:bCs/>
          <w:color w:val="002060"/>
          <w:sz w:val="20"/>
          <w:szCs w:val="24"/>
          <w:shd w:val="clear" w:color="auto" w:fill="FFFFCC"/>
          <w:lang w:eastAsia="fr-FR"/>
        </w:rPr>
        <w:t xml:space="preserve">Avoir  une bonne structure financière est aujourd’hui, plus que jamais, un </w:t>
      </w:r>
      <w:r w:rsidRPr="00C63EF9">
        <w:rPr>
          <w:rFonts w:eastAsia="Times New Roman" w:cs="Times New Roman"/>
          <w:b/>
          <w:bCs/>
          <w:color w:val="002060"/>
          <w:sz w:val="20"/>
          <w:szCs w:val="24"/>
          <w:u w:val="single"/>
          <w:shd w:val="clear" w:color="auto" w:fill="FFFFCC"/>
          <w:lang w:eastAsia="fr-FR"/>
        </w:rPr>
        <w:t>avantage concurrentiel</w:t>
      </w:r>
      <w:r w:rsidRPr="007E6961">
        <w:rPr>
          <w:rFonts w:eastAsia="Times New Roman" w:cs="Times New Roman"/>
          <w:color w:val="002060"/>
          <w:sz w:val="20"/>
          <w:szCs w:val="24"/>
          <w:lang w:eastAsia="fr-FR"/>
        </w:rPr>
        <w:t>. Convaincre les partenaires financiers, et, pour cela, savoir manager son pool bancaire en restant attentif à la concentration des banques et savoir exprimer clairement sa vision stratégique deviennent alors les qualités essentielles qui assureront la pérennité des entreprises. </w:t>
      </w:r>
    </w:p>
    <w:p w:rsidR="00FA2D9E" w:rsidRPr="007E6961" w:rsidRDefault="00FA2D9E" w:rsidP="00040DA4">
      <w:pPr>
        <w:spacing w:after="60" w:line="240" w:lineRule="auto"/>
        <w:jc w:val="both"/>
        <w:rPr>
          <w:rFonts w:eastAsia="Times New Roman" w:cs="Times New Roman"/>
          <w:color w:val="002060"/>
          <w:sz w:val="20"/>
          <w:szCs w:val="24"/>
          <w:lang w:eastAsia="fr-FR"/>
        </w:rPr>
      </w:pPr>
      <w:r w:rsidRPr="007E6961">
        <w:rPr>
          <w:rFonts w:eastAsia="Times New Roman" w:cs="Times New Roman"/>
          <w:color w:val="002060"/>
          <w:sz w:val="20"/>
          <w:szCs w:val="24"/>
          <w:lang w:eastAsia="fr-FR"/>
        </w:rPr>
        <w:t>L’encours des crédits bancaires aux Etats-Unis représente 15% du PIB alors qu’il représente 90% du PIB dans la zone euro. En revanche, la part d l’obligataire  aux USA est trois fois plus importante qu’en France. Or, en France, l’obligataire est inaccessible aux PME qui doivent donc affiner leurs stratégies  et prouver la qualité de leur management pour convaincre des partenaires financiers privés auxquels ils pourront ouvrir leur capital dans de bonnes conditions. </w:t>
      </w:r>
    </w:p>
    <w:p w:rsidR="00FA2D9E" w:rsidRPr="007E6961" w:rsidRDefault="00FA2D9E" w:rsidP="00FA2D9E">
      <w:pPr>
        <w:spacing w:after="120" w:line="240" w:lineRule="auto"/>
        <w:jc w:val="both"/>
        <w:rPr>
          <w:rFonts w:eastAsia="Times New Roman" w:cs="Times New Roman"/>
          <w:color w:val="002060"/>
          <w:sz w:val="20"/>
          <w:szCs w:val="24"/>
          <w:lang w:eastAsia="fr-FR"/>
        </w:rPr>
      </w:pPr>
      <w:r w:rsidRPr="007E6961">
        <w:rPr>
          <w:rFonts w:eastAsia="Times New Roman" w:cs="Times New Roman"/>
          <w:color w:val="002060"/>
          <w:sz w:val="20"/>
          <w:szCs w:val="24"/>
          <w:lang w:eastAsia="fr-FR"/>
        </w:rPr>
        <w:lastRenderedPageBreak/>
        <w:t>L’évolution de nos entreprises à l’heure actuelle est très étroitement liée à la structure de leurs Fonds Propres</w:t>
      </w:r>
    </w:p>
    <w:p w:rsidR="00FA2D9E" w:rsidRPr="00B92B60" w:rsidRDefault="00FA2D9E" w:rsidP="00C63EF9">
      <w:pPr>
        <w:shd w:val="clear" w:color="auto" w:fill="FFFFFF"/>
        <w:spacing w:after="60" w:line="240" w:lineRule="auto"/>
        <w:jc w:val="both"/>
        <w:outlineLvl w:val="2"/>
        <w:rPr>
          <w:rFonts w:eastAsia="Times New Roman" w:cs="Helvetica"/>
          <w:b/>
          <w:bCs/>
          <w:color w:val="002060"/>
          <w:sz w:val="21"/>
          <w:szCs w:val="21"/>
          <w:lang w:eastAsia="fr-FR"/>
        </w:rPr>
      </w:pPr>
      <w:bookmarkStart w:id="0" w:name="_GoBack"/>
      <w:r w:rsidRPr="00B92B60">
        <w:rPr>
          <w:rFonts w:eastAsia="Times New Roman" w:cs="Helvetica"/>
          <w:b/>
          <w:bCs/>
          <w:color w:val="002060"/>
          <w:sz w:val="21"/>
          <w:szCs w:val="21"/>
          <w:lang w:eastAsia="fr-FR"/>
        </w:rPr>
        <w:t>Importance des fonds propres de l’entreprise</w:t>
      </w:r>
    </w:p>
    <w:bookmarkEnd w:id="0"/>
    <w:p w:rsidR="00FA2D9E" w:rsidRPr="007E6961" w:rsidRDefault="00FA2D9E" w:rsidP="00C63EF9">
      <w:pPr>
        <w:shd w:val="clear" w:color="auto" w:fill="FFFFFF"/>
        <w:spacing w:after="60" w:line="240" w:lineRule="auto"/>
        <w:jc w:val="both"/>
        <w:rPr>
          <w:rFonts w:eastAsia="Times New Roman" w:cs="Arial"/>
          <w:color w:val="002060"/>
          <w:sz w:val="20"/>
          <w:szCs w:val="20"/>
          <w:lang w:eastAsia="fr-FR"/>
        </w:rPr>
      </w:pPr>
      <w:r w:rsidRPr="007E6961">
        <w:rPr>
          <w:rFonts w:eastAsia="Times New Roman" w:cs="Arial"/>
          <w:color w:val="002060"/>
          <w:sz w:val="20"/>
          <w:szCs w:val="20"/>
          <w:lang w:eastAsia="fr-FR"/>
        </w:rPr>
        <w:t>Les fonds propres d’une entreprise constituent un élément très important en analyse financière. Des fonds propres importants témoignent de la solidité financière d’une entreprise.</w:t>
      </w:r>
    </w:p>
    <w:p w:rsidR="00FA2D9E" w:rsidRPr="007E6961" w:rsidRDefault="00FA2D9E" w:rsidP="00C63EF9">
      <w:pPr>
        <w:shd w:val="clear" w:color="auto" w:fill="FFFFFF"/>
        <w:spacing w:after="60" w:line="240" w:lineRule="auto"/>
        <w:jc w:val="both"/>
        <w:rPr>
          <w:rFonts w:eastAsia="Times New Roman" w:cs="Arial"/>
          <w:color w:val="002060"/>
          <w:sz w:val="20"/>
          <w:szCs w:val="20"/>
          <w:lang w:eastAsia="fr-FR"/>
        </w:rPr>
      </w:pPr>
      <w:r w:rsidRPr="007E6961">
        <w:rPr>
          <w:rFonts w:eastAsia="Times New Roman" w:cs="Arial"/>
          <w:color w:val="002060"/>
          <w:sz w:val="20"/>
          <w:szCs w:val="20"/>
          <w:lang w:eastAsia="fr-FR"/>
        </w:rPr>
        <w:t>Cet élément comptable est très important aux yeux des investisseurs et des organismes de financement.</w:t>
      </w:r>
    </w:p>
    <w:p w:rsidR="00FA2D9E" w:rsidRPr="007E6961" w:rsidRDefault="00FA2D9E" w:rsidP="00FA2D9E">
      <w:pPr>
        <w:shd w:val="clear" w:color="auto" w:fill="FFFFFF"/>
        <w:spacing w:after="120" w:line="240" w:lineRule="auto"/>
        <w:jc w:val="both"/>
        <w:rPr>
          <w:rFonts w:eastAsia="Times New Roman" w:cs="Arial"/>
          <w:color w:val="002060"/>
          <w:sz w:val="20"/>
          <w:szCs w:val="20"/>
          <w:lang w:eastAsia="fr-FR"/>
        </w:rPr>
      </w:pPr>
      <w:r w:rsidRPr="00C63EF9">
        <w:rPr>
          <w:rFonts w:eastAsia="Times New Roman" w:cs="Arial"/>
          <w:color w:val="002060"/>
          <w:sz w:val="20"/>
          <w:szCs w:val="20"/>
          <w:shd w:val="clear" w:color="auto" w:fill="FFFFCC"/>
          <w:lang w:eastAsia="fr-FR"/>
        </w:rPr>
        <w:t xml:space="preserve">Le niveau des fonds propres est notamment retenu par le banquier pour calculer la capacité </w:t>
      </w:r>
      <w:hyperlink r:id="rId38" w:tooltip="Comptabilisation des emprunts" w:history="1">
        <w:r w:rsidRPr="00C63EF9">
          <w:rPr>
            <w:rFonts w:eastAsia="Times New Roman" w:cs="Arial"/>
            <w:color w:val="002060"/>
            <w:sz w:val="20"/>
            <w:szCs w:val="20"/>
            <w:shd w:val="clear" w:color="auto" w:fill="FFFFCC"/>
            <w:lang w:eastAsia="fr-FR"/>
          </w:rPr>
          <w:t>d’emprunt</w:t>
        </w:r>
      </w:hyperlink>
      <w:r w:rsidRPr="00C63EF9">
        <w:rPr>
          <w:rFonts w:eastAsia="Times New Roman" w:cs="Arial"/>
          <w:color w:val="002060"/>
          <w:sz w:val="20"/>
          <w:szCs w:val="20"/>
          <w:shd w:val="clear" w:color="auto" w:fill="FFFFCC"/>
          <w:lang w:eastAsia="fr-FR"/>
        </w:rPr>
        <w:t xml:space="preserve"> de l’entreprise.</w:t>
      </w:r>
    </w:p>
    <w:p w:rsidR="00FA2D9E" w:rsidRPr="007F0AA8" w:rsidRDefault="00FA2D9E" w:rsidP="007F0AA8">
      <w:pPr>
        <w:autoSpaceDE w:val="0"/>
        <w:autoSpaceDN w:val="0"/>
        <w:adjustRightInd w:val="0"/>
        <w:spacing w:after="120" w:line="240" w:lineRule="auto"/>
        <w:jc w:val="both"/>
        <w:rPr>
          <w:rFonts w:cs="TimesNewRoman"/>
          <w:color w:val="002060"/>
          <w:sz w:val="20"/>
          <w:szCs w:val="20"/>
        </w:rPr>
      </w:pPr>
    </w:p>
    <w:p w:rsidR="000920C7" w:rsidRPr="007F0AA8" w:rsidRDefault="000920C7" w:rsidP="007F0AA8">
      <w:pPr>
        <w:spacing w:after="120"/>
        <w:jc w:val="both"/>
        <w:rPr>
          <w:color w:val="002060"/>
          <w:sz w:val="20"/>
        </w:rPr>
      </w:pPr>
    </w:p>
    <w:sectPr w:rsidR="000920C7" w:rsidRPr="007F0AA8" w:rsidSect="003641D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16F"/>
    <w:multiLevelType w:val="multilevel"/>
    <w:tmpl w:val="B6C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54A55"/>
    <w:multiLevelType w:val="multilevel"/>
    <w:tmpl w:val="D92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72491"/>
    <w:multiLevelType w:val="multilevel"/>
    <w:tmpl w:val="12D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0227C"/>
    <w:multiLevelType w:val="multilevel"/>
    <w:tmpl w:val="6E48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87"/>
    <w:rsid w:val="00040DA4"/>
    <w:rsid w:val="000920C7"/>
    <w:rsid w:val="003641DC"/>
    <w:rsid w:val="003B62A0"/>
    <w:rsid w:val="006D4EB6"/>
    <w:rsid w:val="007F0AA8"/>
    <w:rsid w:val="008B5230"/>
    <w:rsid w:val="00B23687"/>
    <w:rsid w:val="00B92B60"/>
    <w:rsid w:val="00C63EF9"/>
    <w:rsid w:val="00DC2685"/>
    <w:rsid w:val="00FA2D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4F150-839D-4F60-8152-D1191835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6990">
      <w:bodyDiv w:val="1"/>
      <w:marLeft w:val="0"/>
      <w:marRight w:val="0"/>
      <w:marTop w:val="0"/>
      <w:marBottom w:val="0"/>
      <w:divBdr>
        <w:top w:val="none" w:sz="0" w:space="0" w:color="auto"/>
        <w:left w:val="none" w:sz="0" w:space="0" w:color="auto"/>
        <w:bottom w:val="none" w:sz="0" w:space="0" w:color="auto"/>
        <w:right w:val="none" w:sz="0" w:space="0" w:color="auto"/>
      </w:divBdr>
      <w:divsChild>
        <w:div w:id="1772892704">
          <w:marLeft w:val="0"/>
          <w:marRight w:val="0"/>
          <w:marTop w:val="0"/>
          <w:marBottom w:val="0"/>
          <w:divBdr>
            <w:top w:val="none" w:sz="0" w:space="0" w:color="auto"/>
            <w:left w:val="none" w:sz="0" w:space="0" w:color="auto"/>
            <w:bottom w:val="none" w:sz="0" w:space="0" w:color="auto"/>
            <w:right w:val="none" w:sz="0" w:space="0" w:color="auto"/>
          </w:divBdr>
          <w:divsChild>
            <w:div w:id="1839727185">
              <w:marLeft w:val="0"/>
              <w:marRight w:val="0"/>
              <w:marTop w:val="0"/>
              <w:marBottom w:val="0"/>
              <w:divBdr>
                <w:top w:val="none" w:sz="0" w:space="0" w:color="auto"/>
                <w:left w:val="none" w:sz="0" w:space="0" w:color="auto"/>
                <w:bottom w:val="none" w:sz="0" w:space="0" w:color="auto"/>
                <w:right w:val="none" w:sz="0" w:space="0" w:color="auto"/>
              </w:divBdr>
              <w:divsChild>
                <w:div w:id="1300912630">
                  <w:marLeft w:val="0"/>
                  <w:marRight w:val="0"/>
                  <w:marTop w:val="0"/>
                  <w:marBottom w:val="0"/>
                  <w:divBdr>
                    <w:top w:val="none" w:sz="0" w:space="0" w:color="auto"/>
                    <w:left w:val="none" w:sz="0" w:space="0" w:color="auto"/>
                    <w:bottom w:val="none" w:sz="0" w:space="0" w:color="auto"/>
                    <w:right w:val="none" w:sz="0" w:space="0" w:color="auto"/>
                  </w:divBdr>
                </w:div>
                <w:div w:id="1311130206">
                  <w:marLeft w:val="0"/>
                  <w:marRight w:val="0"/>
                  <w:marTop w:val="0"/>
                  <w:marBottom w:val="0"/>
                  <w:divBdr>
                    <w:top w:val="none" w:sz="0" w:space="0" w:color="auto"/>
                    <w:left w:val="none" w:sz="0" w:space="0" w:color="auto"/>
                    <w:bottom w:val="none" w:sz="0" w:space="0" w:color="auto"/>
                    <w:right w:val="none" w:sz="0" w:space="0" w:color="auto"/>
                  </w:divBdr>
                </w:div>
                <w:div w:id="1250188884">
                  <w:marLeft w:val="0"/>
                  <w:marRight w:val="0"/>
                  <w:marTop w:val="0"/>
                  <w:marBottom w:val="0"/>
                  <w:divBdr>
                    <w:top w:val="none" w:sz="0" w:space="0" w:color="auto"/>
                    <w:left w:val="none" w:sz="0" w:space="0" w:color="auto"/>
                    <w:bottom w:val="none" w:sz="0" w:space="0" w:color="auto"/>
                    <w:right w:val="none" w:sz="0" w:space="0" w:color="auto"/>
                  </w:divBdr>
                  <w:divsChild>
                    <w:div w:id="75593733">
                      <w:marLeft w:val="0"/>
                      <w:marRight w:val="0"/>
                      <w:marTop w:val="0"/>
                      <w:marBottom w:val="0"/>
                      <w:divBdr>
                        <w:top w:val="none" w:sz="0" w:space="0" w:color="auto"/>
                        <w:left w:val="none" w:sz="0" w:space="0" w:color="auto"/>
                        <w:bottom w:val="none" w:sz="0" w:space="0" w:color="auto"/>
                        <w:right w:val="none" w:sz="0" w:space="0" w:color="auto"/>
                      </w:divBdr>
                      <w:divsChild>
                        <w:div w:id="6822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rgent" TargetMode="External"/><Relationship Id="rId13" Type="http://schemas.openxmlformats.org/officeDocument/2006/relationships/hyperlink" Target="https://fr.wikipedia.org/wiki/Situation_nette" TargetMode="External"/><Relationship Id="rId18" Type="http://schemas.openxmlformats.org/officeDocument/2006/relationships/hyperlink" Target="https://fr.wikipedia.org/wiki/R%C3%A9serve_comptable" TargetMode="External"/><Relationship Id="rId26" Type="http://schemas.openxmlformats.org/officeDocument/2006/relationships/hyperlink" Target="https://fr.wikipedia.org/wiki/Capitalisation_boursi%C3%A8r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r.wikipedia.org/wiki/Provision" TargetMode="External"/><Relationship Id="rId34" Type="http://schemas.openxmlformats.org/officeDocument/2006/relationships/hyperlink" Target="https://fr.wikipedia.org/wiki/Comptes_consolid%C3%A9s" TargetMode="External"/><Relationship Id="rId7" Type="http://schemas.openxmlformats.org/officeDocument/2006/relationships/hyperlink" Target="https://fr.wikipedia.org/wiki/Actionnaire" TargetMode="External"/><Relationship Id="rId12" Type="http://schemas.openxmlformats.org/officeDocument/2006/relationships/hyperlink" Target="https://fr.wikipedia.org/wiki/Dividende" TargetMode="External"/><Relationship Id="rId17" Type="http://schemas.openxmlformats.org/officeDocument/2006/relationships/hyperlink" Target="https://fr.wikipedia.org/wiki/B%C3%A9n%C3%A9fice" TargetMode="External"/><Relationship Id="rId25" Type="http://schemas.openxmlformats.org/officeDocument/2006/relationships/hyperlink" Target="https://fr.wikipedia.org/w/index.php?title=Actif_net_r%C3%A9%C3%A9valu%C3%A9&amp;action=edit&amp;redlink=1" TargetMode="External"/><Relationship Id="rId33" Type="http://schemas.openxmlformats.org/officeDocument/2006/relationships/hyperlink" Target="https://fr.wikipedia.org/wiki/Goodwill" TargetMode="External"/><Relationship Id="rId38" Type="http://schemas.openxmlformats.org/officeDocument/2006/relationships/hyperlink" Target="http://www.compta-facile.com/comptabilisation-des-emprunts/" TargetMode="External"/><Relationship Id="rId2" Type="http://schemas.openxmlformats.org/officeDocument/2006/relationships/numbering" Target="numbering.xml"/><Relationship Id="rId16" Type="http://schemas.openxmlformats.org/officeDocument/2006/relationships/hyperlink" Target="https://fr.wikipedia.org/wiki/Capital_social" TargetMode="External"/><Relationship Id="rId20" Type="http://schemas.openxmlformats.org/officeDocument/2006/relationships/hyperlink" Target="https://fr.wikipedia.org/wiki/R%C3%A9sultat_net" TargetMode="External"/><Relationship Id="rId29" Type="http://schemas.openxmlformats.org/officeDocument/2006/relationships/hyperlink" Target="https://fr.wikipedia.org/wiki/Crise_de_solvabilit%C3%A9" TargetMode="External"/><Relationship Id="rId1" Type="http://schemas.openxmlformats.org/officeDocument/2006/relationships/customXml" Target="../customXml/item1.xml"/><Relationship Id="rId6" Type="http://schemas.openxmlformats.org/officeDocument/2006/relationships/hyperlink" Target="https://fr.wikipedia.org/wiki/Histoire_des_bourses_de_valeurs" TargetMode="External"/><Relationship Id="rId11" Type="http://schemas.openxmlformats.org/officeDocument/2006/relationships/hyperlink" Target="https://fr.wikipedia.org/wiki/B%C3%A9n%C3%A9fice" TargetMode="External"/><Relationship Id="rId24" Type="http://schemas.openxmlformats.org/officeDocument/2006/relationships/hyperlink" Target="https://fr.wikipedia.org/wiki/Bilan_comptable" TargetMode="External"/><Relationship Id="rId32" Type="http://schemas.openxmlformats.org/officeDocument/2006/relationships/hyperlink" Target="https://fr.wikipedia.org/wiki/Valeur_d%27entreprise" TargetMode="External"/><Relationship Id="rId37" Type="http://schemas.openxmlformats.org/officeDocument/2006/relationships/hyperlink" Target="https://fr.wikipedia.org/wiki/Provision_comptabl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ikipedia.org/wiki/Capitaux_propres" TargetMode="External"/><Relationship Id="rId23" Type="http://schemas.openxmlformats.org/officeDocument/2006/relationships/hyperlink" Target="https://fr.wikipedia.org/wiki/Capital_social" TargetMode="External"/><Relationship Id="rId28" Type="http://schemas.openxmlformats.org/officeDocument/2006/relationships/hyperlink" Target="https://fr.wikipedia.org/wiki/Sous-capitalisation" TargetMode="External"/><Relationship Id="rId36" Type="http://schemas.openxmlformats.org/officeDocument/2006/relationships/hyperlink" Target="https://fr.wikipedia.org/w/index.php?title=Subvention_d%27investissement&amp;action=edit&amp;redlink=1" TargetMode="External"/><Relationship Id="rId10" Type="http://schemas.openxmlformats.org/officeDocument/2006/relationships/hyperlink" Target="https://fr.wikipedia.org/wiki/Mise_en_r%C3%A9serve" TargetMode="External"/><Relationship Id="rId19" Type="http://schemas.openxmlformats.org/officeDocument/2006/relationships/hyperlink" Target="https://fr.wikipedia.org/wiki/Report_%C3%A0_nouveau" TargetMode="External"/><Relationship Id="rId31" Type="http://schemas.openxmlformats.org/officeDocument/2006/relationships/hyperlink" Target="https://fr.wikipedia.org/wiki/Capitalisation_boursi%C3%A8re" TargetMode="External"/><Relationship Id="rId4" Type="http://schemas.openxmlformats.org/officeDocument/2006/relationships/settings" Target="settings.xml"/><Relationship Id="rId9" Type="http://schemas.openxmlformats.org/officeDocument/2006/relationships/hyperlink" Target="https://fr.wikipedia.org/wiki/Augmentation_de_capital" TargetMode="External"/><Relationship Id="rId14" Type="http://schemas.openxmlformats.org/officeDocument/2006/relationships/hyperlink" Target="https://fr.wikipedia.org/wiki/Report_%C3%A0_nouveau" TargetMode="External"/><Relationship Id="rId22" Type="http://schemas.openxmlformats.org/officeDocument/2006/relationships/hyperlink" Target="https://fr.wikipedia.org/wiki/Plan_comptable_g%C3%A9n%C3%A9ral_(France)" TargetMode="External"/><Relationship Id="rId27" Type="http://schemas.openxmlformats.org/officeDocument/2006/relationships/hyperlink" Target="https://fr.wikipedia.org/wiki/Histoire_des_bourses_de_valeurs" TargetMode="External"/><Relationship Id="rId30" Type="http://schemas.openxmlformats.org/officeDocument/2006/relationships/hyperlink" Target="https://fr.wikipedia.org/wiki/Capitalisation_boursi%C3%A8re" TargetMode="External"/><Relationship Id="rId35" Type="http://schemas.openxmlformats.org/officeDocument/2006/relationships/hyperlink" Target="https://fr.wikipedia.org/wiki/Groupe_de_soci%C3%A9t%C3%A9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D3C8-F3A5-48F9-83F7-2B56E25B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3107</Words>
  <Characters>17091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Utilisateur Windows</cp:lastModifiedBy>
  <cp:revision>10</cp:revision>
  <dcterms:created xsi:type="dcterms:W3CDTF">2014-10-08T12:27:00Z</dcterms:created>
  <dcterms:modified xsi:type="dcterms:W3CDTF">2019-09-04T13:04:00Z</dcterms:modified>
</cp:coreProperties>
</file>