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14" w:rsidRPr="005461AB" w:rsidRDefault="00605814" w:rsidP="00E55A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autoSpaceDE w:val="0"/>
        <w:autoSpaceDN w:val="0"/>
        <w:adjustRightInd w:val="0"/>
        <w:spacing w:before="120" w:after="120"/>
        <w:ind w:left="0" w:firstLine="0"/>
        <w:jc w:val="center"/>
        <w:rPr>
          <w:rFonts w:cs="Helvetica-Condensed-Black"/>
          <w:b/>
          <w:color w:val="FFFFFF"/>
          <w:sz w:val="24"/>
          <w:szCs w:val="26"/>
        </w:rPr>
      </w:pPr>
      <w:r w:rsidRPr="005461AB">
        <w:rPr>
          <w:rFonts w:cs="Helvetica-Condensed-Black"/>
          <w:b/>
          <w:color w:val="FFFFFF"/>
          <w:sz w:val="24"/>
          <w:szCs w:val="26"/>
        </w:rPr>
        <w:t xml:space="preserve">Le financement </w:t>
      </w:r>
      <w:r w:rsidR="0047651B" w:rsidRPr="005461AB">
        <w:rPr>
          <w:rFonts w:cs="Helvetica-Condensed-Black"/>
          <w:b/>
          <w:color w:val="FFFFFF"/>
          <w:sz w:val="24"/>
          <w:szCs w:val="26"/>
        </w:rPr>
        <w:t xml:space="preserve">de l’entreprise </w:t>
      </w:r>
      <w:r w:rsidRPr="005461AB">
        <w:rPr>
          <w:rFonts w:cs="Helvetica-Condensed-Black"/>
          <w:b/>
          <w:color w:val="FFFFFF"/>
          <w:sz w:val="24"/>
          <w:szCs w:val="26"/>
        </w:rPr>
        <w:t>est-il globalement équilibré ?</w:t>
      </w:r>
    </w:p>
    <w:p w:rsidR="00605814" w:rsidRPr="00861B09" w:rsidRDefault="00605814" w:rsidP="00652F22">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On retient principalement </w:t>
      </w:r>
      <w:r w:rsidR="007C2105">
        <w:rPr>
          <w:rFonts w:eastAsia="Garamond-Book" w:cs="Garamond-Book"/>
          <w:color w:val="002060"/>
          <w:sz w:val="20"/>
          <w:szCs w:val="20"/>
        </w:rPr>
        <w:t>3</w:t>
      </w:r>
      <w:r w:rsidRPr="00861B09">
        <w:rPr>
          <w:rFonts w:eastAsia="Garamond-Book" w:cs="Garamond-Book"/>
          <w:color w:val="002060"/>
          <w:sz w:val="20"/>
          <w:szCs w:val="20"/>
        </w:rPr>
        <w:t xml:space="preserve"> grandes explications du risque d’illiquidité d’une entreprise. Les difficultés d’une entreprise </w:t>
      </w:r>
      <w:r w:rsidR="009A457D" w:rsidRPr="00861B09">
        <w:rPr>
          <w:rFonts w:eastAsia="Garamond-Book" w:cs="Garamond-Book"/>
          <w:color w:val="002060"/>
          <w:sz w:val="20"/>
          <w:szCs w:val="20"/>
        </w:rPr>
        <w:t>à</w:t>
      </w:r>
      <w:r w:rsidRPr="00861B09">
        <w:rPr>
          <w:rFonts w:eastAsia="Garamond-Book" w:cs="Garamond-Book"/>
          <w:color w:val="002060"/>
          <w:sz w:val="20"/>
          <w:szCs w:val="20"/>
        </w:rPr>
        <w:t xml:space="preserve"> honorer ses engagements financiers vis-à-vis de son personnel, de ses créanciers, de l’état</w:t>
      </w:r>
      <w:r w:rsidR="009A457D" w:rsidRPr="00861B09">
        <w:rPr>
          <w:rFonts w:eastAsia="Garamond-Book" w:cs="Garamond-Book"/>
          <w:color w:val="002060"/>
          <w:sz w:val="20"/>
          <w:szCs w:val="20"/>
        </w:rPr>
        <w:t>,</w:t>
      </w:r>
      <w:r w:rsidRPr="00861B09">
        <w:rPr>
          <w:rFonts w:eastAsia="Garamond-Book" w:cs="Garamond-Book"/>
          <w:color w:val="002060"/>
          <w:sz w:val="20"/>
          <w:szCs w:val="20"/>
        </w:rPr>
        <w:t xml:space="preserve"> tiennent principalement </w:t>
      </w:r>
      <w:r w:rsidR="009A457D" w:rsidRPr="00861B09">
        <w:rPr>
          <w:rFonts w:eastAsia="Garamond-Book" w:cs="Garamond-Book"/>
          <w:color w:val="002060"/>
          <w:sz w:val="20"/>
          <w:szCs w:val="20"/>
        </w:rPr>
        <w:t>à</w:t>
      </w:r>
      <w:r w:rsidRPr="00861B09">
        <w:rPr>
          <w:rFonts w:eastAsia="Garamond-Book" w:cs="Garamond-Book"/>
          <w:color w:val="002060"/>
          <w:sz w:val="20"/>
          <w:szCs w:val="20"/>
        </w:rPr>
        <w:t xml:space="preserve"> :</w:t>
      </w:r>
    </w:p>
    <w:p w:rsidR="00BF5B23" w:rsidRDefault="00605814" w:rsidP="00BF5B23">
      <w:pPr>
        <w:pStyle w:val="Paragraphedeliste"/>
        <w:numPr>
          <w:ilvl w:val="0"/>
          <w:numId w:val="2"/>
        </w:numPr>
        <w:autoSpaceDE w:val="0"/>
        <w:autoSpaceDN w:val="0"/>
        <w:adjustRightInd w:val="0"/>
        <w:spacing w:after="0"/>
        <w:ind w:left="170" w:hanging="170"/>
        <w:contextualSpacing w:val="0"/>
        <w:jc w:val="both"/>
        <w:rPr>
          <w:rFonts w:eastAsia="Garamond-Book" w:cs="Garamond-Book"/>
          <w:color w:val="002060"/>
          <w:sz w:val="20"/>
          <w:szCs w:val="20"/>
        </w:rPr>
      </w:pPr>
      <w:r w:rsidRPr="007C2105">
        <w:rPr>
          <w:rFonts w:eastAsia="Garamond-Book" w:cs="Garamond-Book"/>
          <w:b/>
          <w:color w:val="002060"/>
          <w:sz w:val="20"/>
          <w:szCs w:val="20"/>
        </w:rPr>
        <w:t>Une insuffisance de la rentabilité de cette entreprise</w:t>
      </w:r>
      <w:r w:rsidR="00BF5B23">
        <w:rPr>
          <w:rFonts w:eastAsia="Garamond-Book" w:cs="Garamond-Book"/>
          <w:color w:val="002060"/>
          <w:sz w:val="20"/>
          <w:szCs w:val="20"/>
        </w:rPr>
        <w:t> :</w:t>
      </w:r>
    </w:p>
    <w:p w:rsidR="007C2105" w:rsidRDefault="00605814" w:rsidP="00BF5B23">
      <w:pPr>
        <w:pStyle w:val="Paragraphedeliste"/>
        <w:autoSpaceDE w:val="0"/>
        <w:autoSpaceDN w:val="0"/>
        <w:adjustRightInd w:val="0"/>
        <w:ind w:left="170" w:firstLine="0"/>
        <w:contextualSpacing w:val="0"/>
        <w:jc w:val="both"/>
        <w:rPr>
          <w:rFonts w:eastAsia="Garamond-Book" w:cs="Garamond-Book"/>
          <w:color w:val="002060"/>
          <w:sz w:val="20"/>
          <w:szCs w:val="20"/>
        </w:rPr>
      </w:pPr>
      <w:r w:rsidRPr="007C2105">
        <w:rPr>
          <w:rFonts w:eastAsia="Garamond-Book" w:cs="Garamond-Book"/>
          <w:color w:val="002060"/>
          <w:sz w:val="20"/>
          <w:szCs w:val="20"/>
        </w:rPr>
        <w:t>Elle réduit sa capacité à secréter des flux financiers et accro</w:t>
      </w:r>
      <w:r w:rsidR="009A457D" w:rsidRPr="007C2105">
        <w:rPr>
          <w:rFonts w:eastAsia="Garamond-Book" w:cs="Garamond-Book"/>
          <w:color w:val="002060"/>
          <w:sz w:val="20"/>
          <w:szCs w:val="20"/>
        </w:rPr>
        <w:t>î</w:t>
      </w:r>
      <w:r w:rsidRPr="007C2105">
        <w:rPr>
          <w:rFonts w:eastAsia="Garamond-Book" w:cs="Garamond-Book"/>
          <w:color w:val="002060"/>
          <w:sz w:val="20"/>
          <w:szCs w:val="20"/>
        </w:rPr>
        <w:t>t le poids de l’endettement ;</w:t>
      </w:r>
    </w:p>
    <w:p w:rsidR="00BF5B23" w:rsidRDefault="00605814" w:rsidP="00BF5B23">
      <w:pPr>
        <w:pStyle w:val="Paragraphedeliste"/>
        <w:numPr>
          <w:ilvl w:val="0"/>
          <w:numId w:val="2"/>
        </w:numPr>
        <w:autoSpaceDE w:val="0"/>
        <w:autoSpaceDN w:val="0"/>
        <w:adjustRightInd w:val="0"/>
        <w:spacing w:after="0"/>
        <w:ind w:left="170" w:hanging="170"/>
        <w:contextualSpacing w:val="0"/>
        <w:jc w:val="both"/>
        <w:rPr>
          <w:rFonts w:eastAsia="Garamond-Book" w:cs="Garamond-Book"/>
          <w:color w:val="002060"/>
          <w:sz w:val="20"/>
          <w:szCs w:val="20"/>
        </w:rPr>
      </w:pPr>
      <w:r w:rsidRPr="007C2105">
        <w:rPr>
          <w:rFonts w:eastAsia="Garamond-Book" w:cs="Garamond-Book"/>
          <w:b/>
          <w:color w:val="002060"/>
          <w:sz w:val="20"/>
          <w:szCs w:val="20"/>
        </w:rPr>
        <w:t>Un manque de flexibilité lors des périodes de variation d’activité</w:t>
      </w:r>
      <w:r w:rsidR="00BF5B23">
        <w:rPr>
          <w:rFonts w:eastAsia="Garamond-Book" w:cs="Garamond-Book"/>
          <w:color w:val="002060"/>
          <w:sz w:val="20"/>
          <w:szCs w:val="20"/>
        </w:rPr>
        <w:t> :</w:t>
      </w:r>
    </w:p>
    <w:p w:rsidR="007C2105" w:rsidRDefault="00605814" w:rsidP="00BF5B23">
      <w:pPr>
        <w:pStyle w:val="Paragraphedeliste"/>
        <w:autoSpaceDE w:val="0"/>
        <w:autoSpaceDN w:val="0"/>
        <w:adjustRightInd w:val="0"/>
        <w:ind w:left="170" w:firstLine="0"/>
        <w:contextualSpacing w:val="0"/>
        <w:jc w:val="both"/>
        <w:rPr>
          <w:rFonts w:eastAsia="Garamond-Book" w:cs="Garamond-Book"/>
          <w:color w:val="002060"/>
          <w:sz w:val="20"/>
          <w:szCs w:val="20"/>
        </w:rPr>
      </w:pPr>
      <w:r w:rsidRPr="007C2105">
        <w:rPr>
          <w:rFonts w:eastAsia="Garamond-Book" w:cs="Garamond-Book"/>
          <w:color w:val="002060"/>
          <w:sz w:val="20"/>
          <w:szCs w:val="20"/>
        </w:rPr>
        <w:t>L’entreprise, surtout si elle doit supporter des frais fixes importants ou si elle est fortement dépendante d’un client, se trouve en situation délicate en cas de retournement de conjoncture ou de ralentissement de l’activité avec ce dernier ;</w:t>
      </w:r>
    </w:p>
    <w:p w:rsidR="00BF5B23" w:rsidRDefault="00605814" w:rsidP="00BF5B23">
      <w:pPr>
        <w:pStyle w:val="Paragraphedeliste"/>
        <w:numPr>
          <w:ilvl w:val="0"/>
          <w:numId w:val="2"/>
        </w:numPr>
        <w:autoSpaceDE w:val="0"/>
        <w:autoSpaceDN w:val="0"/>
        <w:adjustRightInd w:val="0"/>
        <w:spacing w:after="0"/>
        <w:ind w:left="170" w:hanging="170"/>
        <w:contextualSpacing w:val="0"/>
        <w:jc w:val="both"/>
        <w:rPr>
          <w:rFonts w:eastAsia="Garamond-Book" w:cs="Garamond-Book"/>
          <w:color w:val="002060"/>
          <w:sz w:val="20"/>
          <w:szCs w:val="20"/>
        </w:rPr>
      </w:pPr>
      <w:r w:rsidRPr="007C2105">
        <w:rPr>
          <w:rFonts w:eastAsia="Garamond-Book" w:cs="Garamond-Book"/>
          <w:b/>
          <w:color w:val="002060"/>
          <w:sz w:val="20"/>
          <w:szCs w:val="20"/>
        </w:rPr>
        <w:t>La fragilité de la structure financière</w:t>
      </w:r>
      <w:r w:rsidR="00BF5B23">
        <w:rPr>
          <w:rFonts w:eastAsia="Garamond-Book" w:cs="Garamond-Book"/>
          <w:b/>
          <w:color w:val="002060"/>
          <w:sz w:val="20"/>
          <w:szCs w:val="20"/>
        </w:rPr>
        <w:t> :</w:t>
      </w:r>
      <w:r w:rsidRPr="007C2105">
        <w:rPr>
          <w:rFonts w:eastAsia="Garamond-Book" w:cs="Garamond-Book"/>
          <w:color w:val="002060"/>
          <w:sz w:val="20"/>
          <w:szCs w:val="20"/>
        </w:rPr>
        <w:t xml:space="preserve"> </w:t>
      </w:r>
    </w:p>
    <w:p w:rsidR="00605814" w:rsidRPr="007C2105" w:rsidRDefault="00BF5B23" w:rsidP="00BF5B23">
      <w:pPr>
        <w:pStyle w:val="Paragraphedeliste"/>
        <w:autoSpaceDE w:val="0"/>
        <w:autoSpaceDN w:val="0"/>
        <w:adjustRightInd w:val="0"/>
        <w:ind w:left="170" w:firstLine="0"/>
        <w:contextualSpacing w:val="0"/>
        <w:jc w:val="both"/>
        <w:rPr>
          <w:rFonts w:eastAsia="Garamond-Book" w:cs="Garamond-Book"/>
          <w:color w:val="002060"/>
          <w:sz w:val="20"/>
          <w:szCs w:val="20"/>
        </w:rPr>
      </w:pPr>
      <w:r>
        <w:rPr>
          <w:rFonts w:eastAsia="Garamond-Book" w:cs="Garamond-Book"/>
          <w:color w:val="002060"/>
          <w:sz w:val="20"/>
          <w:szCs w:val="20"/>
        </w:rPr>
        <w:t xml:space="preserve">Elle est </w:t>
      </w:r>
      <w:r w:rsidR="00605814" w:rsidRPr="007C2105">
        <w:rPr>
          <w:rFonts w:eastAsia="Garamond-Book" w:cs="Garamond-Book"/>
          <w:color w:val="002060"/>
          <w:sz w:val="20"/>
          <w:szCs w:val="20"/>
        </w:rPr>
        <w:t xml:space="preserve">due </w:t>
      </w:r>
      <w:r w:rsidR="009A457D" w:rsidRPr="007C2105">
        <w:rPr>
          <w:rFonts w:eastAsia="Garamond-Book" w:cs="Garamond-Book"/>
          <w:color w:val="002060"/>
          <w:sz w:val="20"/>
          <w:szCs w:val="20"/>
        </w:rPr>
        <w:t>à</w:t>
      </w:r>
      <w:r w:rsidR="00605814" w:rsidRPr="007C2105">
        <w:rPr>
          <w:rFonts w:eastAsia="Garamond-Book" w:cs="Garamond-Book"/>
          <w:color w:val="002060"/>
          <w:sz w:val="20"/>
          <w:szCs w:val="20"/>
        </w:rPr>
        <w:t xml:space="preserve"> une insuffisance des capitaux propres ou </w:t>
      </w:r>
      <w:r w:rsidR="009A457D" w:rsidRPr="007C2105">
        <w:rPr>
          <w:rFonts w:eastAsia="Garamond-Book" w:cs="Garamond-Book"/>
          <w:color w:val="002060"/>
          <w:sz w:val="20"/>
          <w:szCs w:val="20"/>
        </w:rPr>
        <w:t>à</w:t>
      </w:r>
      <w:r w:rsidR="00605814" w:rsidRPr="007C2105">
        <w:rPr>
          <w:rFonts w:eastAsia="Garamond-Book" w:cs="Garamond-Book"/>
          <w:color w:val="002060"/>
          <w:sz w:val="20"/>
          <w:szCs w:val="20"/>
        </w:rPr>
        <w:t xml:space="preserve"> une augmentation des besoins financiers liée </w:t>
      </w:r>
      <w:r w:rsidR="00D744D8" w:rsidRPr="007C2105">
        <w:rPr>
          <w:rFonts w:eastAsia="Garamond-Book" w:cs="Garamond-Book"/>
          <w:color w:val="002060"/>
          <w:sz w:val="20"/>
          <w:szCs w:val="20"/>
        </w:rPr>
        <w:t>à</w:t>
      </w:r>
      <w:r w:rsidR="00605814" w:rsidRPr="007C2105">
        <w:rPr>
          <w:rFonts w:eastAsia="Garamond-Book" w:cs="Garamond-Book"/>
          <w:color w:val="002060"/>
          <w:sz w:val="20"/>
          <w:szCs w:val="20"/>
        </w:rPr>
        <w:t xml:space="preserve"> une croissance non ma</w:t>
      </w:r>
      <w:r w:rsidR="009A457D" w:rsidRPr="007C2105">
        <w:rPr>
          <w:rFonts w:eastAsia="Garamond-Book" w:cs="Garamond-Book"/>
          <w:color w:val="002060"/>
          <w:sz w:val="20"/>
          <w:szCs w:val="20"/>
        </w:rPr>
        <w:t>î</w:t>
      </w:r>
      <w:r w:rsidR="00605814" w:rsidRPr="007C2105">
        <w:rPr>
          <w:rFonts w:eastAsia="Garamond-Book" w:cs="Garamond-Book"/>
          <w:color w:val="002060"/>
          <w:sz w:val="20"/>
          <w:szCs w:val="20"/>
        </w:rPr>
        <w:t>trisée.</w:t>
      </w:r>
    </w:p>
    <w:p w:rsidR="00605814" w:rsidRPr="00861B09" w:rsidRDefault="00605814" w:rsidP="0057124D">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Cette dernière cause nous invite </w:t>
      </w:r>
      <w:r w:rsidR="0047651B" w:rsidRPr="00861B09">
        <w:rPr>
          <w:rFonts w:eastAsia="Garamond-Book" w:cs="Garamond-Book"/>
          <w:color w:val="002060"/>
          <w:sz w:val="20"/>
          <w:szCs w:val="20"/>
        </w:rPr>
        <w:t>à</w:t>
      </w:r>
      <w:r w:rsidRPr="00861B09">
        <w:rPr>
          <w:rFonts w:eastAsia="Garamond-Book" w:cs="Garamond-Book"/>
          <w:color w:val="002060"/>
          <w:sz w:val="20"/>
          <w:szCs w:val="20"/>
        </w:rPr>
        <w:t xml:space="preserve"> envisager l’équilibre du financement de l’entreprise. </w:t>
      </w:r>
    </w:p>
    <w:p w:rsidR="00605814" w:rsidRPr="00861B09" w:rsidRDefault="00605814" w:rsidP="0057124D">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La structure financière d’une entreprise est la résultante de contraintes </w:t>
      </w:r>
      <w:r w:rsidR="00D744D8" w:rsidRPr="00861B09">
        <w:rPr>
          <w:rFonts w:eastAsia="Garamond-Book" w:cs="Garamond-Book"/>
          <w:color w:val="002060"/>
          <w:sz w:val="20"/>
          <w:szCs w:val="20"/>
        </w:rPr>
        <w:t>économiques</w:t>
      </w:r>
      <w:r w:rsidRPr="00861B09">
        <w:rPr>
          <w:rFonts w:eastAsia="Garamond-Book" w:cs="Garamond-Book"/>
          <w:color w:val="002060"/>
          <w:sz w:val="20"/>
          <w:szCs w:val="20"/>
        </w:rPr>
        <w:t xml:space="preserve"> (les natures de l’offre et de la demande ainsi que l’</w:t>
      </w:r>
      <w:r w:rsidR="00D744D8" w:rsidRPr="00861B09">
        <w:rPr>
          <w:rFonts w:eastAsia="Garamond-Book" w:cs="Garamond-Book"/>
          <w:color w:val="002060"/>
          <w:sz w:val="20"/>
          <w:szCs w:val="20"/>
        </w:rPr>
        <w:t>intensité</w:t>
      </w:r>
      <w:r w:rsidRPr="00861B09">
        <w:rPr>
          <w:rFonts w:eastAsia="Garamond-Book" w:cs="Garamond-Book"/>
          <w:color w:val="002060"/>
          <w:sz w:val="20"/>
          <w:szCs w:val="20"/>
        </w:rPr>
        <w:t xml:space="preserve"> concurrentielle sur les domaines d’</w:t>
      </w:r>
      <w:r w:rsidR="00D744D8" w:rsidRPr="00861B09">
        <w:rPr>
          <w:rFonts w:eastAsia="Garamond-Book" w:cs="Garamond-Book"/>
          <w:color w:val="002060"/>
          <w:sz w:val="20"/>
          <w:szCs w:val="20"/>
        </w:rPr>
        <w:t>activités</w:t>
      </w:r>
      <w:r w:rsidRPr="00861B09">
        <w:rPr>
          <w:rFonts w:eastAsia="Garamond-Book" w:cs="Garamond-Book"/>
          <w:color w:val="002060"/>
          <w:sz w:val="20"/>
          <w:szCs w:val="20"/>
        </w:rPr>
        <w:t>), de contraintes techniques (</w:t>
      </w:r>
      <w:r w:rsidR="00D744D8" w:rsidRPr="00861B09">
        <w:rPr>
          <w:rFonts w:eastAsia="Garamond-Book" w:cs="Garamond-Book"/>
          <w:color w:val="002060"/>
          <w:sz w:val="20"/>
          <w:szCs w:val="20"/>
        </w:rPr>
        <w:t>nécessités</w:t>
      </w:r>
      <w:r w:rsidRPr="00861B09">
        <w:rPr>
          <w:rFonts w:eastAsia="Garamond-Book" w:cs="Garamond-Book"/>
          <w:color w:val="002060"/>
          <w:sz w:val="20"/>
          <w:szCs w:val="20"/>
        </w:rPr>
        <w:t xml:space="preserve"> technologiques </w:t>
      </w:r>
      <w:r w:rsidR="00D744D8" w:rsidRPr="00861B09">
        <w:rPr>
          <w:rFonts w:eastAsia="Garamond-Book" w:cs="Garamond-Book"/>
          <w:color w:val="002060"/>
          <w:sz w:val="20"/>
          <w:szCs w:val="20"/>
        </w:rPr>
        <w:t>liées</w:t>
      </w:r>
      <w:r w:rsidRPr="00861B09">
        <w:rPr>
          <w:rFonts w:eastAsia="Garamond-Book" w:cs="Garamond-Book"/>
          <w:color w:val="002060"/>
          <w:sz w:val="20"/>
          <w:szCs w:val="20"/>
        </w:rPr>
        <w:t xml:space="preserve"> </w:t>
      </w:r>
      <w:r w:rsidR="008E62E1" w:rsidRPr="00861B09">
        <w:rPr>
          <w:rFonts w:eastAsia="Garamond-Book" w:cs="Garamond-Book"/>
          <w:color w:val="002060"/>
          <w:sz w:val="20"/>
          <w:szCs w:val="20"/>
        </w:rPr>
        <w:t>à</w:t>
      </w:r>
      <w:r w:rsidRPr="00861B09">
        <w:rPr>
          <w:rFonts w:eastAsia="Garamond-Book" w:cs="Garamond-Book"/>
          <w:color w:val="002060"/>
          <w:sz w:val="20"/>
          <w:szCs w:val="20"/>
        </w:rPr>
        <w:t xml:space="preserve"> la nature de l’</w:t>
      </w:r>
      <w:r w:rsidR="00D744D8" w:rsidRPr="00861B09">
        <w:rPr>
          <w:rFonts w:eastAsia="Garamond-Book" w:cs="Garamond-Book"/>
          <w:color w:val="002060"/>
          <w:sz w:val="20"/>
          <w:szCs w:val="20"/>
        </w:rPr>
        <w:t>activité</w:t>
      </w:r>
      <w:r w:rsidRPr="00861B09">
        <w:rPr>
          <w:rFonts w:eastAsia="Garamond-Book" w:cs="Garamond-Book"/>
          <w:color w:val="002060"/>
          <w:sz w:val="20"/>
          <w:szCs w:val="20"/>
        </w:rPr>
        <w:t xml:space="preserve">) et des choix </w:t>
      </w:r>
      <w:r w:rsidR="00D744D8" w:rsidRPr="00861B09">
        <w:rPr>
          <w:rFonts w:eastAsia="Garamond-Book" w:cs="Garamond-Book"/>
          <w:color w:val="002060"/>
          <w:sz w:val="20"/>
          <w:szCs w:val="20"/>
        </w:rPr>
        <w:t>stratégiques</w:t>
      </w:r>
      <w:r w:rsidRPr="00861B09">
        <w:rPr>
          <w:rFonts w:eastAsia="Garamond-Book" w:cs="Garamond-Book"/>
          <w:color w:val="002060"/>
          <w:sz w:val="20"/>
          <w:szCs w:val="20"/>
        </w:rPr>
        <w:t xml:space="preserve"> explicites ou implicites de l’entreprise (choix d’un mode de développement, degré d’intégration, degré d’externalisation…).</w:t>
      </w:r>
    </w:p>
    <w:p w:rsidR="00605814" w:rsidRPr="00861B09" w:rsidRDefault="00605814" w:rsidP="0057124D">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L’appréciation de la structure </w:t>
      </w:r>
      <w:r w:rsidR="00D744D8" w:rsidRPr="00861B09">
        <w:rPr>
          <w:rFonts w:eastAsia="Garamond-Book" w:cs="Garamond-Book"/>
          <w:color w:val="002060"/>
          <w:sz w:val="20"/>
          <w:szCs w:val="20"/>
        </w:rPr>
        <w:t>financière</w:t>
      </w:r>
      <w:r w:rsidRPr="00861B09">
        <w:rPr>
          <w:rFonts w:eastAsia="Garamond-Book" w:cs="Garamond-Book"/>
          <w:color w:val="002060"/>
          <w:sz w:val="20"/>
          <w:szCs w:val="20"/>
        </w:rPr>
        <w:t xml:space="preserve"> d’une entreprise repose </w:t>
      </w:r>
      <w:r w:rsidR="00D744D8" w:rsidRPr="00861B09">
        <w:rPr>
          <w:rFonts w:eastAsia="Garamond-Book" w:cs="Garamond-Book"/>
          <w:color w:val="002060"/>
          <w:sz w:val="20"/>
          <w:szCs w:val="20"/>
        </w:rPr>
        <w:t>très</w:t>
      </w:r>
      <w:r w:rsidRPr="00861B09">
        <w:rPr>
          <w:rFonts w:eastAsia="Garamond-Book" w:cs="Garamond-Book"/>
          <w:color w:val="002060"/>
          <w:sz w:val="20"/>
          <w:szCs w:val="20"/>
        </w:rPr>
        <w:t xml:space="preserve"> largement sur l’examen des </w:t>
      </w:r>
      <w:r w:rsidR="00D744D8" w:rsidRPr="00861B09">
        <w:rPr>
          <w:rFonts w:eastAsia="Garamond-Book" w:cs="Garamond-Book"/>
          <w:color w:val="002060"/>
          <w:sz w:val="20"/>
          <w:szCs w:val="20"/>
        </w:rPr>
        <w:t>règles</w:t>
      </w:r>
      <w:r w:rsidRPr="00861B09">
        <w:rPr>
          <w:rFonts w:eastAsia="Garamond-Book" w:cs="Garamond-Book"/>
          <w:color w:val="002060"/>
          <w:sz w:val="20"/>
          <w:szCs w:val="20"/>
        </w:rPr>
        <w:t xml:space="preserve"> mises en place par les </w:t>
      </w:r>
      <w:r w:rsidR="00D744D8" w:rsidRPr="00861B09">
        <w:rPr>
          <w:rFonts w:eastAsia="Garamond-Book" w:cs="Garamond-Book"/>
          <w:color w:val="002060"/>
          <w:sz w:val="20"/>
          <w:szCs w:val="20"/>
        </w:rPr>
        <w:t>créanciers</w:t>
      </w:r>
      <w:r w:rsidRPr="00861B09">
        <w:rPr>
          <w:rFonts w:eastAsia="Garamond-Book" w:cs="Garamond-Book"/>
          <w:color w:val="002060"/>
          <w:sz w:val="20"/>
          <w:szCs w:val="20"/>
        </w:rPr>
        <w:t xml:space="preserve">, en particulier les </w:t>
      </w:r>
      <w:r w:rsidR="00D744D8" w:rsidRPr="00861B09">
        <w:rPr>
          <w:rFonts w:eastAsia="Garamond-Book" w:cs="Garamond-Book"/>
          <w:color w:val="002060"/>
          <w:sz w:val="20"/>
          <w:szCs w:val="20"/>
        </w:rPr>
        <w:t>établissements</w:t>
      </w:r>
      <w:r w:rsidRPr="00861B09">
        <w:rPr>
          <w:rFonts w:eastAsia="Garamond-Book" w:cs="Garamond-Book"/>
          <w:color w:val="002060"/>
          <w:sz w:val="20"/>
          <w:szCs w:val="20"/>
        </w:rPr>
        <w:t xml:space="preserve"> de </w:t>
      </w:r>
      <w:r w:rsidR="00D744D8" w:rsidRPr="00861B09">
        <w:rPr>
          <w:rFonts w:eastAsia="Garamond-Book" w:cs="Garamond-Book"/>
          <w:color w:val="002060"/>
          <w:sz w:val="20"/>
          <w:szCs w:val="20"/>
        </w:rPr>
        <w:t>crédit</w:t>
      </w:r>
      <w:r w:rsidRPr="00861B09">
        <w:rPr>
          <w:rFonts w:eastAsia="Garamond-Book" w:cs="Garamond-Book"/>
          <w:color w:val="002060"/>
          <w:sz w:val="20"/>
          <w:szCs w:val="20"/>
        </w:rPr>
        <w:t>. Elles sont, bien évidemment, variables dans le temps et fonction des établissements.</w:t>
      </w:r>
    </w:p>
    <w:p w:rsidR="00D744D8" w:rsidRPr="00861B09" w:rsidRDefault="00605814" w:rsidP="00BF5B23">
      <w:pPr>
        <w:shd w:val="clear" w:color="auto" w:fill="FFFFCC"/>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Toutefois, il est possible de dégager des caractéristiques communes, </w:t>
      </w:r>
      <w:r w:rsidRPr="007C2105">
        <w:rPr>
          <w:rFonts w:eastAsia="Garamond-Book" w:cs="Garamond-Book"/>
          <w:color w:val="002060"/>
          <w:sz w:val="20"/>
          <w:szCs w:val="20"/>
        </w:rPr>
        <w:t xml:space="preserve">en gardant </w:t>
      </w:r>
      <w:r w:rsidR="008E62E1" w:rsidRPr="007C2105">
        <w:rPr>
          <w:rFonts w:eastAsia="Garamond-Book" w:cs="Garamond-Book"/>
          <w:color w:val="002060"/>
          <w:sz w:val="20"/>
          <w:szCs w:val="20"/>
        </w:rPr>
        <w:t>à</w:t>
      </w:r>
      <w:r w:rsidRPr="007C2105">
        <w:rPr>
          <w:rFonts w:eastAsia="Garamond-Book" w:cs="Garamond-Book"/>
          <w:color w:val="002060"/>
          <w:sz w:val="20"/>
          <w:szCs w:val="20"/>
        </w:rPr>
        <w:t xml:space="preserve"> l’esprit que le recours </w:t>
      </w:r>
      <w:r w:rsidR="007D7FF2" w:rsidRPr="007C2105">
        <w:rPr>
          <w:rFonts w:eastAsia="Garamond-Book" w:cs="Garamond-Book"/>
          <w:color w:val="002060"/>
          <w:sz w:val="20"/>
          <w:szCs w:val="20"/>
        </w:rPr>
        <w:t>à</w:t>
      </w:r>
      <w:r w:rsidRPr="007C2105">
        <w:rPr>
          <w:rFonts w:eastAsia="Garamond-Book" w:cs="Garamond-Book"/>
          <w:color w:val="002060"/>
          <w:sz w:val="20"/>
          <w:szCs w:val="20"/>
        </w:rPr>
        <w:t xml:space="preserve"> l’endettement s’inscrit dans le cadre de relations commerciales avec les banques et, </w:t>
      </w:r>
      <w:r w:rsidR="007D7FF2" w:rsidRPr="007C2105">
        <w:rPr>
          <w:rFonts w:eastAsia="Garamond-Book" w:cs="Garamond-Book"/>
          <w:color w:val="002060"/>
          <w:sz w:val="20"/>
          <w:szCs w:val="20"/>
        </w:rPr>
        <w:t>à</w:t>
      </w:r>
      <w:r w:rsidRPr="007C2105">
        <w:rPr>
          <w:rFonts w:eastAsia="Garamond-Book" w:cs="Garamond-Book"/>
          <w:color w:val="002060"/>
          <w:sz w:val="20"/>
          <w:szCs w:val="20"/>
        </w:rPr>
        <w:t xml:space="preserve"> ce titre, fait l’objet</w:t>
      </w:r>
      <w:r w:rsidR="00D744D8" w:rsidRPr="007C2105">
        <w:rPr>
          <w:rFonts w:eastAsia="Garamond-Book" w:cs="Garamond-Book"/>
          <w:color w:val="002060"/>
          <w:sz w:val="20"/>
          <w:szCs w:val="20"/>
        </w:rPr>
        <w:t xml:space="preserve"> de négociations.</w:t>
      </w:r>
      <w:r w:rsidR="00D744D8" w:rsidRPr="00861B09">
        <w:rPr>
          <w:rFonts w:eastAsia="Garamond-Book" w:cs="Garamond-Book"/>
          <w:color w:val="002060"/>
          <w:sz w:val="20"/>
          <w:szCs w:val="20"/>
        </w:rPr>
        <w:t xml:space="preserve"> </w:t>
      </w:r>
    </w:p>
    <w:p w:rsidR="003E10AC" w:rsidRPr="00861B09" w:rsidRDefault="00D744D8" w:rsidP="00BF5B23">
      <w:pPr>
        <w:autoSpaceDE w:val="0"/>
        <w:autoSpaceDN w:val="0"/>
        <w:adjustRightInd w:val="0"/>
        <w:spacing w:after="120"/>
        <w:ind w:left="0" w:firstLine="0"/>
        <w:jc w:val="both"/>
        <w:rPr>
          <w:rFonts w:ascii="Garamond-Book" w:eastAsia="Garamond-Book" w:hAnsi="Helvetica-Condensed-Black" w:cs="Garamond-Book"/>
          <w:color w:val="002060"/>
          <w:sz w:val="20"/>
          <w:szCs w:val="20"/>
        </w:rPr>
      </w:pPr>
      <w:r w:rsidRPr="00861B09">
        <w:rPr>
          <w:rFonts w:eastAsia="Garamond-Book" w:cs="Garamond-Book"/>
          <w:color w:val="002060"/>
          <w:sz w:val="20"/>
          <w:szCs w:val="20"/>
        </w:rPr>
        <w:t xml:space="preserve">Des lors, les </w:t>
      </w:r>
      <w:r w:rsidR="00605814" w:rsidRPr="00861B09">
        <w:rPr>
          <w:rFonts w:eastAsia="Garamond-Book" w:cs="Garamond-Book"/>
          <w:color w:val="002060"/>
          <w:sz w:val="20"/>
          <w:szCs w:val="20"/>
        </w:rPr>
        <w:t>normes doivent être lues comme des pratiques habituelles et, en aucun cas, comme des règles intangibles</w:t>
      </w:r>
      <w:r w:rsidR="00605814" w:rsidRPr="00861B09">
        <w:rPr>
          <w:rFonts w:ascii="Garamond-Book" w:eastAsia="Garamond-Book" w:hAnsi="Helvetica-Condensed-Black" w:cs="Garamond-Book"/>
          <w:color w:val="002060"/>
          <w:sz w:val="20"/>
          <w:szCs w:val="20"/>
        </w:rPr>
        <w:t>.</w:t>
      </w:r>
    </w:p>
    <w:p w:rsidR="00605814" w:rsidRPr="005461AB" w:rsidRDefault="0023661C" w:rsidP="00652F22">
      <w:pPr>
        <w:autoSpaceDE w:val="0"/>
        <w:autoSpaceDN w:val="0"/>
        <w:adjustRightInd w:val="0"/>
        <w:ind w:left="0" w:firstLine="0"/>
        <w:jc w:val="both"/>
        <w:rPr>
          <w:rFonts w:cs="HelveticaNeue-SC750"/>
          <w:b/>
          <w:color w:val="002060"/>
          <w:sz w:val="21"/>
          <w:szCs w:val="21"/>
        </w:rPr>
      </w:pPr>
      <w:r w:rsidRPr="005461AB">
        <w:rPr>
          <w:rFonts w:cs="HelveticaNeue-SC750"/>
          <w:b/>
          <w:color w:val="002060"/>
          <w:sz w:val="21"/>
          <w:szCs w:val="21"/>
        </w:rPr>
        <w:t>L’entreprise</w:t>
      </w:r>
      <w:r w:rsidR="00605814" w:rsidRPr="005461AB">
        <w:rPr>
          <w:rFonts w:cs="HelveticaNeue-SC750"/>
          <w:b/>
          <w:color w:val="002060"/>
          <w:sz w:val="21"/>
          <w:szCs w:val="21"/>
        </w:rPr>
        <w:t xml:space="preserve"> est-elle solvable ?</w:t>
      </w:r>
    </w:p>
    <w:p w:rsidR="00605814" w:rsidRPr="00861B09" w:rsidRDefault="00605814" w:rsidP="00652F22">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Les normes bancaires sont largement inspirées de la Finance classique et se traduisent en </w:t>
      </w:r>
      <w:r w:rsidR="0023661C" w:rsidRPr="00861B09">
        <w:rPr>
          <w:rFonts w:eastAsia="Garamond-Book" w:cs="Garamond-Book"/>
          <w:color w:val="002060"/>
          <w:sz w:val="20"/>
          <w:szCs w:val="20"/>
        </w:rPr>
        <w:t>matière</w:t>
      </w:r>
      <w:r w:rsidRPr="00861B09">
        <w:rPr>
          <w:rFonts w:eastAsia="Garamond-Book" w:cs="Garamond-Book"/>
          <w:color w:val="002060"/>
          <w:sz w:val="20"/>
          <w:szCs w:val="20"/>
        </w:rPr>
        <w:t xml:space="preserve"> d’endettement par le respect de “</w:t>
      </w:r>
      <w:r w:rsidRPr="00861B09">
        <w:rPr>
          <w:rFonts w:eastAsia="Garamond-Book" w:cs="Garamond-Book"/>
          <w:b/>
          <w:color w:val="002060"/>
          <w:sz w:val="20"/>
          <w:szCs w:val="20"/>
        </w:rPr>
        <w:t>règles d’or</w:t>
      </w:r>
      <w:r w:rsidRPr="00861B09">
        <w:rPr>
          <w:rFonts w:eastAsia="Garamond-Book" w:cs="Garamond-Book"/>
          <w:color w:val="002060"/>
          <w:sz w:val="20"/>
          <w:szCs w:val="20"/>
        </w:rPr>
        <w:t>” du financement</w:t>
      </w:r>
      <w:r w:rsidR="000C4BD6" w:rsidRPr="00861B09">
        <w:rPr>
          <w:rFonts w:eastAsia="Garamond-Book" w:cs="Garamond-Book"/>
          <w:color w:val="002060"/>
          <w:sz w:val="20"/>
          <w:szCs w:val="20"/>
        </w:rPr>
        <w:t xml:space="preserve"> </w:t>
      </w:r>
      <w:r w:rsidRPr="00861B09">
        <w:rPr>
          <w:rFonts w:eastAsia="Garamond-Book" w:cs="Garamond-Book"/>
          <w:color w:val="002060"/>
          <w:sz w:val="20"/>
          <w:szCs w:val="20"/>
        </w:rPr>
        <w:t>:</w:t>
      </w:r>
    </w:p>
    <w:p w:rsidR="00605814" w:rsidRPr="00B403F9" w:rsidRDefault="00605814" w:rsidP="00B403F9">
      <w:pPr>
        <w:autoSpaceDE w:val="0"/>
        <w:autoSpaceDN w:val="0"/>
        <w:adjustRightInd w:val="0"/>
        <w:spacing w:after="0"/>
        <w:ind w:left="227" w:hanging="227"/>
        <w:jc w:val="both"/>
        <w:rPr>
          <w:rFonts w:cs="Garamond-BoldCondensed"/>
          <w:b/>
          <w:bCs/>
          <w:color w:val="002060"/>
          <w:sz w:val="20"/>
          <w:szCs w:val="20"/>
        </w:rPr>
      </w:pPr>
      <w:r w:rsidRPr="00B403F9">
        <w:rPr>
          <w:rFonts w:cs="Garamond-BoldCondensed"/>
          <w:bCs/>
          <w:color w:val="002060"/>
          <w:sz w:val="20"/>
          <w:szCs w:val="20"/>
        </w:rPr>
        <w:t>1</w:t>
      </w:r>
      <w:r w:rsidR="00B403F9">
        <w:rPr>
          <w:rFonts w:cs="Garamond-BoldCondensed"/>
          <w:b/>
          <w:bCs/>
          <w:color w:val="002060"/>
          <w:sz w:val="20"/>
          <w:szCs w:val="20"/>
        </w:rPr>
        <w:t>.</w:t>
      </w:r>
      <w:r w:rsidRPr="00B403F9">
        <w:rPr>
          <w:rFonts w:cs="Garamond-BoldCondensed"/>
          <w:b/>
          <w:bCs/>
          <w:color w:val="002060"/>
          <w:sz w:val="20"/>
          <w:szCs w:val="20"/>
        </w:rPr>
        <w:t xml:space="preserve"> </w:t>
      </w:r>
      <w:r w:rsidR="00B403F9">
        <w:rPr>
          <w:rFonts w:cs="Garamond-BoldCondensed"/>
          <w:b/>
          <w:bCs/>
          <w:color w:val="002060"/>
          <w:sz w:val="20"/>
          <w:szCs w:val="20"/>
        </w:rPr>
        <w:t xml:space="preserve"> </w:t>
      </w:r>
      <w:r w:rsidRPr="00861B09">
        <w:rPr>
          <w:rFonts w:eastAsia="Garamond-Book" w:cs="Garamond-Book"/>
          <w:color w:val="002060"/>
          <w:sz w:val="20"/>
          <w:szCs w:val="20"/>
        </w:rPr>
        <w:t>Les actifs stables, qu’ils soient acycliques ou cycliques ne doivent</w:t>
      </w:r>
      <w:r w:rsidR="0023661C" w:rsidRPr="00861B09">
        <w:rPr>
          <w:rFonts w:eastAsia="Garamond-Book" w:cs="Garamond-Book"/>
          <w:color w:val="002060"/>
          <w:sz w:val="20"/>
          <w:szCs w:val="20"/>
        </w:rPr>
        <w:t xml:space="preserve"> </w:t>
      </w:r>
      <w:r w:rsidRPr="00861B09">
        <w:rPr>
          <w:rFonts w:eastAsia="Garamond-Book" w:cs="Garamond-Book"/>
          <w:color w:val="002060"/>
          <w:sz w:val="20"/>
          <w:szCs w:val="20"/>
        </w:rPr>
        <w:t xml:space="preserve">pas, en principe, </w:t>
      </w:r>
      <w:r w:rsidR="0023661C" w:rsidRPr="00861B09">
        <w:rPr>
          <w:rFonts w:eastAsia="Garamond-Book" w:cs="Garamond-Book"/>
          <w:color w:val="002060"/>
          <w:sz w:val="20"/>
          <w:szCs w:val="20"/>
        </w:rPr>
        <w:t>être</w:t>
      </w:r>
      <w:r w:rsidRPr="00861B09">
        <w:rPr>
          <w:rFonts w:eastAsia="Garamond-Book" w:cs="Garamond-Book"/>
          <w:color w:val="002060"/>
          <w:sz w:val="20"/>
          <w:szCs w:val="20"/>
        </w:rPr>
        <w:t xml:space="preserve"> financ</w:t>
      </w:r>
      <w:r w:rsidR="00ED5398" w:rsidRPr="00861B09">
        <w:rPr>
          <w:rFonts w:eastAsia="Garamond-Book" w:cs="Garamond-Book"/>
          <w:color w:val="002060"/>
          <w:sz w:val="20"/>
          <w:szCs w:val="20"/>
        </w:rPr>
        <w:t>é</w:t>
      </w:r>
      <w:r w:rsidRPr="00861B09">
        <w:rPr>
          <w:rFonts w:eastAsia="Garamond-Book" w:cs="Garamond-Book"/>
          <w:color w:val="002060"/>
          <w:sz w:val="20"/>
          <w:szCs w:val="20"/>
        </w:rPr>
        <w:t xml:space="preserve">s par des dettes </w:t>
      </w:r>
      <w:r w:rsidR="008E62E1" w:rsidRPr="00861B09">
        <w:rPr>
          <w:rFonts w:eastAsia="Garamond-Book" w:cs="Garamond-Book"/>
          <w:color w:val="002060"/>
          <w:sz w:val="20"/>
          <w:szCs w:val="20"/>
        </w:rPr>
        <w:t>à</w:t>
      </w:r>
      <w:r w:rsidRPr="00861B09">
        <w:rPr>
          <w:rFonts w:eastAsia="Garamond-Book" w:cs="Garamond-Book"/>
          <w:color w:val="002060"/>
          <w:sz w:val="20"/>
          <w:szCs w:val="20"/>
        </w:rPr>
        <w:t xml:space="preserve"> court terme ou de </w:t>
      </w:r>
      <w:r w:rsidR="0023661C" w:rsidRPr="00861B09">
        <w:rPr>
          <w:rFonts w:eastAsia="Garamond-Book" w:cs="Garamond-Book"/>
          <w:color w:val="002060"/>
          <w:sz w:val="20"/>
          <w:szCs w:val="20"/>
        </w:rPr>
        <w:t>trésorerie</w:t>
      </w:r>
      <w:r w:rsidRPr="00861B09">
        <w:rPr>
          <w:rFonts w:eastAsia="Garamond-Book" w:cs="Garamond-Book"/>
          <w:color w:val="002060"/>
          <w:sz w:val="20"/>
          <w:szCs w:val="20"/>
        </w:rPr>
        <w:t>.</w:t>
      </w:r>
    </w:p>
    <w:p w:rsidR="00605814" w:rsidRPr="00B403F9" w:rsidRDefault="00605814" w:rsidP="00B403F9">
      <w:pPr>
        <w:autoSpaceDE w:val="0"/>
        <w:autoSpaceDN w:val="0"/>
        <w:adjustRightInd w:val="0"/>
        <w:ind w:left="227" w:hanging="227"/>
        <w:jc w:val="both"/>
        <w:rPr>
          <w:rFonts w:cs="Garamond-BoldCondensed"/>
          <w:b/>
          <w:bCs/>
          <w:color w:val="002060"/>
          <w:sz w:val="20"/>
          <w:szCs w:val="20"/>
        </w:rPr>
      </w:pPr>
      <w:r w:rsidRPr="00B403F9">
        <w:rPr>
          <w:rFonts w:cs="Garamond-BoldCondensed"/>
          <w:bCs/>
          <w:color w:val="002060"/>
          <w:sz w:val="20"/>
          <w:szCs w:val="20"/>
        </w:rPr>
        <w:t>2</w:t>
      </w:r>
      <w:r w:rsidR="00B403F9">
        <w:rPr>
          <w:rFonts w:cs="Garamond-BoldCondensed"/>
          <w:b/>
          <w:bCs/>
          <w:color w:val="002060"/>
          <w:sz w:val="20"/>
          <w:szCs w:val="18"/>
        </w:rPr>
        <w:t xml:space="preserve">. </w:t>
      </w:r>
      <w:r w:rsidRPr="00B403F9">
        <w:rPr>
          <w:rFonts w:cs="Garamond-BoldCondensed"/>
          <w:b/>
          <w:bCs/>
          <w:color w:val="002060"/>
          <w:sz w:val="20"/>
          <w:szCs w:val="20"/>
        </w:rPr>
        <w:t xml:space="preserve"> </w:t>
      </w:r>
      <w:r w:rsidRPr="00861B09">
        <w:rPr>
          <w:rFonts w:eastAsia="Garamond-Book" w:cs="Garamond-Book"/>
          <w:color w:val="002060"/>
          <w:sz w:val="20"/>
          <w:szCs w:val="20"/>
        </w:rPr>
        <w:t xml:space="preserve">Le financement des actifs stables par endettement </w:t>
      </w:r>
      <w:r w:rsidR="00ED5398" w:rsidRPr="00861B09">
        <w:rPr>
          <w:rFonts w:eastAsia="Garamond-Book" w:cs="Garamond-Book"/>
          <w:color w:val="002060"/>
          <w:sz w:val="20"/>
          <w:szCs w:val="20"/>
        </w:rPr>
        <w:t>à</w:t>
      </w:r>
      <w:r w:rsidRPr="00861B09">
        <w:rPr>
          <w:rFonts w:eastAsia="Garamond-Book" w:cs="Garamond-Book"/>
          <w:color w:val="002060"/>
          <w:sz w:val="20"/>
          <w:szCs w:val="20"/>
        </w:rPr>
        <w:t xml:space="preserve"> long et moyen</w:t>
      </w:r>
      <w:r w:rsidR="0023661C" w:rsidRPr="00861B09">
        <w:rPr>
          <w:rFonts w:eastAsia="Garamond-Book" w:cs="Garamond-Book"/>
          <w:color w:val="002060"/>
          <w:sz w:val="20"/>
          <w:szCs w:val="20"/>
        </w:rPr>
        <w:t xml:space="preserve"> </w:t>
      </w:r>
      <w:r w:rsidRPr="00861B09">
        <w:rPr>
          <w:rFonts w:eastAsia="Garamond-Book" w:cs="Garamond-Book"/>
          <w:color w:val="002060"/>
          <w:sz w:val="20"/>
          <w:szCs w:val="20"/>
        </w:rPr>
        <w:t>terme est “</w:t>
      </w:r>
      <w:r w:rsidR="0023661C" w:rsidRPr="00861B09">
        <w:rPr>
          <w:rFonts w:eastAsia="Garamond-Book" w:cs="Garamond-Book"/>
          <w:color w:val="002060"/>
          <w:sz w:val="20"/>
          <w:szCs w:val="20"/>
        </w:rPr>
        <w:t>toléré</w:t>
      </w:r>
      <w:r w:rsidRPr="00861B09">
        <w:rPr>
          <w:rFonts w:eastAsia="Garamond-Book" w:cs="Garamond-Book"/>
          <w:color w:val="002060"/>
          <w:sz w:val="20"/>
          <w:szCs w:val="20"/>
        </w:rPr>
        <w:t xml:space="preserve">” </w:t>
      </w:r>
      <w:r w:rsidR="00ED5398" w:rsidRPr="00861B09">
        <w:rPr>
          <w:rFonts w:eastAsia="Garamond-Book" w:cs="Garamond-Book"/>
          <w:color w:val="002060"/>
          <w:sz w:val="20"/>
          <w:szCs w:val="20"/>
        </w:rPr>
        <w:t>à</w:t>
      </w:r>
      <w:r w:rsidRPr="00861B09">
        <w:rPr>
          <w:rFonts w:eastAsia="Garamond-Book" w:cs="Garamond-Book"/>
          <w:color w:val="002060"/>
          <w:sz w:val="20"/>
          <w:szCs w:val="20"/>
        </w:rPr>
        <w:t xml:space="preserve"> condition qu’</w:t>
      </w:r>
      <w:r w:rsidR="0023661C" w:rsidRPr="00861B09">
        <w:rPr>
          <w:rFonts w:eastAsia="Garamond-Book" w:cs="Garamond-Book"/>
          <w:color w:val="002060"/>
          <w:sz w:val="20"/>
          <w:szCs w:val="20"/>
        </w:rPr>
        <w:t>il ne représente</w:t>
      </w:r>
      <w:r w:rsidRPr="00861B09">
        <w:rPr>
          <w:rFonts w:eastAsia="Garamond-Book" w:cs="Garamond-Book"/>
          <w:color w:val="002060"/>
          <w:sz w:val="20"/>
          <w:szCs w:val="20"/>
        </w:rPr>
        <w:t xml:space="preserve"> pas plus de </w:t>
      </w:r>
      <w:r w:rsidRPr="00861B09">
        <w:rPr>
          <w:rFonts w:eastAsia="Garamond-Book" w:cs="Garamond-Book"/>
          <w:b/>
          <w:color w:val="002060"/>
          <w:sz w:val="20"/>
          <w:szCs w:val="20"/>
        </w:rPr>
        <w:t>50 %</w:t>
      </w:r>
      <w:r w:rsidRPr="00861B09">
        <w:rPr>
          <w:rFonts w:eastAsia="Garamond-Book" w:cs="Garamond-Book"/>
          <w:color w:val="002060"/>
          <w:sz w:val="20"/>
          <w:szCs w:val="20"/>
        </w:rPr>
        <w:t xml:space="preserve"> des capitaux permanents</w:t>
      </w:r>
      <w:r w:rsidR="0023661C" w:rsidRPr="00861B09">
        <w:rPr>
          <w:rFonts w:eastAsia="Garamond-Book" w:cs="Garamond-Book"/>
          <w:color w:val="002060"/>
          <w:sz w:val="20"/>
          <w:szCs w:val="20"/>
        </w:rPr>
        <w:t xml:space="preserve"> </w:t>
      </w:r>
      <w:r w:rsidRPr="00861B09">
        <w:rPr>
          <w:rFonts w:eastAsia="Garamond-Book" w:cs="Garamond-Book"/>
          <w:color w:val="002060"/>
          <w:sz w:val="20"/>
          <w:szCs w:val="20"/>
        </w:rPr>
        <w:t xml:space="preserve">et qu’il puisse </w:t>
      </w:r>
      <w:r w:rsidR="0047651B" w:rsidRPr="00861B09">
        <w:rPr>
          <w:rFonts w:eastAsia="Garamond-Book" w:cs="Garamond-Book"/>
          <w:color w:val="002060"/>
          <w:sz w:val="20"/>
          <w:szCs w:val="20"/>
        </w:rPr>
        <w:t>être</w:t>
      </w:r>
      <w:r w:rsidRPr="00861B09">
        <w:rPr>
          <w:rFonts w:eastAsia="Garamond-Book" w:cs="Garamond-Book"/>
          <w:color w:val="002060"/>
          <w:sz w:val="20"/>
          <w:szCs w:val="20"/>
        </w:rPr>
        <w:t xml:space="preserve"> pr</w:t>
      </w:r>
      <w:r w:rsidR="0023661C" w:rsidRPr="00861B09">
        <w:rPr>
          <w:rFonts w:eastAsia="Garamond-Book" w:cs="Garamond-Book"/>
          <w:color w:val="002060"/>
          <w:sz w:val="20"/>
          <w:szCs w:val="20"/>
        </w:rPr>
        <w:t>ogressivement rembours</w:t>
      </w:r>
      <w:r w:rsidR="00ED5398" w:rsidRPr="00861B09">
        <w:rPr>
          <w:rFonts w:eastAsia="Garamond-Book" w:cs="Garamond-Book"/>
          <w:color w:val="002060"/>
          <w:sz w:val="20"/>
          <w:szCs w:val="20"/>
        </w:rPr>
        <w:t>é</w:t>
      </w:r>
      <w:r w:rsidR="0023661C" w:rsidRPr="00861B09">
        <w:rPr>
          <w:rFonts w:eastAsia="Garamond-Book" w:cs="Garamond-Book"/>
          <w:color w:val="002060"/>
          <w:sz w:val="20"/>
          <w:szCs w:val="20"/>
        </w:rPr>
        <w:t xml:space="preserve"> grâce </w:t>
      </w:r>
      <w:proofErr w:type="spellStart"/>
      <w:r w:rsidR="0023661C" w:rsidRPr="00861B09">
        <w:rPr>
          <w:rFonts w:eastAsia="Garamond-Book" w:cs="Garamond-Book"/>
          <w:color w:val="002060"/>
          <w:sz w:val="20"/>
          <w:szCs w:val="20"/>
        </w:rPr>
        <w:t>a</w:t>
      </w:r>
      <w:proofErr w:type="spellEnd"/>
      <w:r w:rsidR="0023661C" w:rsidRPr="00861B09">
        <w:rPr>
          <w:rFonts w:eastAsia="Garamond-Book" w:cs="Garamond-Book"/>
          <w:color w:val="002060"/>
          <w:sz w:val="20"/>
          <w:szCs w:val="20"/>
        </w:rPr>
        <w:t xml:space="preserve"> </w:t>
      </w:r>
      <w:r w:rsidR="00ED5398" w:rsidRPr="00861B09">
        <w:rPr>
          <w:rFonts w:eastAsia="Garamond-Book" w:cs="Garamond-Book"/>
          <w:color w:val="002060"/>
          <w:sz w:val="20"/>
          <w:szCs w:val="20"/>
        </w:rPr>
        <w:t>l’autofinancement</w:t>
      </w:r>
      <w:r w:rsidRPr="00861B09">
        <w:rPr>
          <w:rFonts w:eastAsia="Garamond-Book" w:cs="Garamond-Book"/>
          <w:color w:val="002060"/>
          <w:sz w:val="20"/>
          <w:szCs w:val="20"/>
        </w:rPr>
        <w:t>.</w:t>
      </w:r>
    </w:p>
    <w:p w:rsidR="00BF5B23" w:rsidRPr="00B403F9" w:rsidRDefault="00605814" w:rsidP="00B403F9">
      <w:pPr>
        <w:autoSpaceDE w:val="0"/>
        <w:autoSpaceDN w:val="0"/>
        <w:adjustRightInd w:val="0"/>
        <w:spacing w:after="30"/>
        <w:ind w:left="0" w:firstLine="0"/>
        <w:jc w:val="both"/>
        <w:rPr>
          <w:rFonts w:cs="Garamond-BoldCondensed"/>
          <w:b/>
          <w:bCs/>
          <w:color w:val="002060"/>
          <w:sz w:val="20"/>
          <w:szCs w:val="20"/>
        </w:rPr>
      </w:pPr>
      <w:r w:rsidRPr="00B403F9">
        <w:rPr>
          <w:rFonts w:cs="Garamond-BoldCondensed"/>
          <w:bCs/>
          <w:color w:val="002060"/>
          <w:sz w:val="20"/>
          <w:szCs w:val="20"/>
        </w:rPr>
        <w:t>3</w:t>
      </w:r>
      <w:r w:rsidR="00B403F9" w:rsidRPr="00B403F9">
        <w:rPr>
          <w:rFonts w:cs="Garamond-BoldCondensed"/>
          <w:bCs/>
          <w:color w:val="002060"/>
          <w:sz w:val="20"/>
          <w:szCs w:val="18"/>
        </w:rPr>
        <w:t>.</w:t>
      </w:r>
      <w:r w:rsidRPr="00B403F9">
        <w:rPr>
          <w:rFonts w:cs="Garamond-BoldCondensed"/>
          <w:b/>
          <w:bCs/>
          <w:color w:val="002060"/>
          <w:sz w:val="20"/>
          <w:szCs w:val="20"/>
        </w:rPr>
        <w:t xml:space="preserve"> </w:t>
      </w:r>
      <w:r w:rsidR="00B403F9">
        <w:rPr>
          <w:rFonts w:cs="Garamond-BoldCondensed"/>
          <w:b/>
          <w:bCs/>
          <w:color w:val="002060"/>
          <w:sz w:val="20"/>
          <w:szCs w:val="20"/>
        </w:rPr>
        <w:t xml:space="preserve"> </w:t>
      </w:r>
      <w:r w:rsidRPr="00861B09">
        <w:rPr>
          <w:rFonts w:eastAsia="Garamond-Book" w:cs="Garamond-Book"/>
          <w:color w:val="002060"/>
          <w:sz w:val="20"/>
          <w:szCs w:val="20"/>
        </w:rPr>
        <w:t xml:space="preserve">La prise en compte du </w:t>
      </w:r>
      <w:r w:rsidR="0023661C" w:rsidRPr="00861B09">
        <w:rPr>
          <w:rFonts w:eastAsia="Garamond-Book" w:cs="Garamond-Book"/>
          <w:color w:val="002060"/>
          <w:sz w:val="20"/>
          <w:szCs w:val="20"/>
        </w:rPr>
        <w:t>crédit</w:t>
      </w:r>
      <w:r w:rsidRPr="00861B09">
        <w:rPr>
          <w:rFonts w:eastAsia="Garamond-Book" w:cs="Garamond-Book"/>
          <w:color w:val="002060"/>
          <w:sz w:val="20"/>
          <w:szCs w:val="20"/>
        </w:rPr>
        <w:t xml:space="preserve"> fournisseur comme mode de financement</w:t>
      </w:r>
      <w:r w:rsidR="0023661C" w:rsidRPr="00861B09">
        <w:rPr>
          <w:rFonts w:eastAsia="Garamond-Book" w:cs="Garamond-Book"/>
          <w:color w:val="002060"/>
          <w:sz w:val="20"/>
          <w:szCs w:val="20"/>
        </w:rPr>
        <w:t xml:space="preserve"> </w:t>
      </w:r>
      <w:r w:rsidRPr="00861B09">
        <w:rPr>
          <w:rFonts w:eastAsia="Garamond-Book" w:cs="Garamond-Book"/>
          <w:color w:val="002060"/>
          <w:sz w:val="20"/>
          <w:szCs w:val="20"/>
        </w:rPr>
        <w:t xml:space="preserve">conduit </w:t>
      </w:r>
      <w:r w:rsidR="0047651B" w:rsidRPr="00861B09">
        <w:rPr>
          <w:rFonts w:eastAsia="Garamond-Book" w:cs="Garamond-Book"/>
          <w:color w:val="002060"/>
          <w:sz w:val="20"/>
          <w:szCs w:val="20"/>
        </w:rPr>
        <w:t>à</w:t>
      </w:r>
      <w:r w:rsidRPr="00861B09">
        <w:rPr>
          <w:rFonts w:eastAsia="Garamond-Book" w:cs="Garamond-Book"/>
          <w:color w:val="002060"/>
          <w:sz w:val="20"/>
          <w:szCs w:val="20"/>
        </w:rPr>
        <w:t xml:space="preserve"> </w:t>
      </w:r>
      <w:r w:rsidR="0023661C" w:rsidRPr="00861B09">
        <w:rPr>
          <w:rFonts w:eastAsia="Garamond-Book" w:cs="Garamond-Book"/>
          <w:color w:val="002060"/>
          <w:sz w:val="20"/>
          <w:szCs w:val="20"/>
        </w:rPr>
        <w:t>considérer</w:t>
      </w:r>
      <w:r w:rsidRPr="00861B09">
        <w:rPr>
          <w:rFonts w:eastAsia="Garamond-Book" w:cs="Garamond-Book"/>
          <w:color w:val="002060"/>
          <w:sz w:val="20"/>
          <w:szCs w:val="20"/>
        </w:rPr>
        <w:t xml:space="preserve"> la </w:t>
      </w:r>
      <w:r w:rsidR="0023661C" w:rsidRPr="00861B09">
        <w:rPr>
          <w:rFonts w:eastAsia="Garamond-Book" w:cs="Garamond-Book"/>
          <w:color w:val="002060"/>
          <w:sz w:val="20"/>
          <w:szCs w:val="20"/>
        </w:rPr>
        <w:t>règle</w:t>
      </w:r>
      <w:r w:rsidRPr="00861B09">
        <w:rPr>
          <w:rFonts w:eastAsia="Garamond-Book" w:cs="Garamond-Book"/>
          <w:color w:val="002060"/>
          <w:sz w:val="20"/>
          <w:szCs w:val="20"/>
        </w:rPr>
        <w:t xml:space="preserve"> des </w:t>
      </w:r>
      <w:r w:rsidR="00BF5B23">
        <w:rPr>
          <w:rFonts w:eastAsia="Garamond-Book" w:cs="Garamond-Book"/>
          <w:color w:val="002060"/>
          <w:sz w:val="20"/>
          <w:szCs w:val="20"/>
        </w:rPr>
        <w:t>3</w:t>
      </w:r>
      <w:r w:rsidRPr="00861B09">
        <w:rPr>
          <w:rFonts w:eastAsia="Garamond-Book" w:cs="Garamond-Book"/>
          <w:color w:val="002060"/>
          <w:sz w:val="20"/>
          <w:szCs w:val="20"/>
        </w:rPr>
        <w:t xml:space="preserve"> tiers : </w:t>
      </w:r>
    </w:p>
    <w:p w:rsidR="00BF5B23" w:rsidRDefault="005461AB" w:rsidP="00B403F9">
      <w:pPr>
        <w:autoSpaceDE w:val="0"/>
        <w:autoSpaceDN w:val="0"/>
        <w:adjustRightInd w:val="0"/>
        <w:spacing w:after="30"/>
        <w:ind w:left="227" w:firstLine="0"/>
        <w:jc w:val="both"/>
        <w:rPr>
          <w:rFonts w:eastAsia="Garamond-Book" w:cs="Garamond-Book"/>
          <w:color w:val="002060"/>
          <w:sz w:val="20"/>
          <w:szCs w:val="20"/>
        </w:rPr>
      </w:pPr>
      <w:r>
        <w:pict>
          <v:shape id="_x0000_i1026" type="#_x0000_t75" alt="triangle" style="width:9pt;height:7.5pt;visibility:visible;mso-wrap-style:square">
            <v:imagedata r:id="rId6" o:title="triangle"/>
          </v:shape>
        </w:pict>
      </w:r>
      <w:r w:rsidR="00BF5B23" w:rsidRPr="00861B09">
        <w:rPr>
          <w:rFonts w:eastAsia="Garamond-Book" w:cs="Garamond-Book"/>
          <w:color w:val="002060"/>
          <w:sz w:val="20"/>
          <w:szCs w:val="20"/>
        </w:rPr>
        <w:t>Les</w:t>
      </w:r>
      <w:r w:rsidR="00605814" w:rsidRPr="00861B09">
        <w:rPr>
          <w:rFonts w:eastAsia="Garamond-Book" w:cs="Garamond-Book"/>
          <w:color w:val="002060"/>
          <w:sz w:val="20"/>
          <w:szCs w:val="20"/>
        </w:rPr>
        <w:t xml:space="preserve"> </w:t>
      </w:r>
      <w:r w:rsidR="0023661C" w:rsidRPr="00861B09">
        <w:rPr>
          <w:rFonts w:eastAsia="Garamond-Book" w:cs="Garamond-Book"/>
          <w:color w:val="002060"/>
          <w:sz w:val="20"/>
          <w:szCs w:val="20"/>
        </w:rPr>
        <w:t>crédits</w:t>
      </w:r>
      <w:r w:rsidR="00605814" w:rsidRPr="00861B09">
        <w:rPr>
          <w:rFonts w:eastAsia="Garamond-Book" w:cs="Garamond-Book"/>
          <w:color w:val="002060"/>
          <w:sz w:val="20"/>
          <w:szCs w:val="20"/>
        </w:rPr>
        <w:t xml:space="preserve"> fournisseurs ne doivent</w:t>
      </w:r>
      <w:r w:rsidR="0023661C" w:rsidRPr="00861B09">
        <w:rPr>
          <w:rFonts w:eastAsia="Garamond-Book" w:cs="Garamond-Book"/>
          <w:color w:val="002060"/>
          <w:sz w:val="20"/>
          <w:szCs w:val="20"/>
        </w:rPr>
        <w:t xml:space="preserve"> </w:t>
      </w:r>
      <w:r w:rsidR="00605814" w:rsidRPr="00861B09">
        <w:rPr>
          <w:rFonts w:eastAsia="Garamond-Book" w:cs="Garamond-Book"/>
          <w:color w:val="002060"/>
          <w:sz w:val="20"/>
          <w:szCs w:val="20"/>
        </w:rPr>
        <w:t xml:space="preserve">pas </w:t>
      </w:r>
      <w:r w:rsidR="0023661C" w:rsidRPr="00861B09">
        <w:rPr>
          <w:rFonts w:eastAsia="Garamond-Book" w:cs="Garamond-Book"/>
          <w:color w:val="002060"/>
          <w:sz w:val="20"/>
          <w:szCs w:val="20"/>
        </w:rPr>
        <w:t>dépasser</w:t>
      </w:r>
      <w:r w:rsidR="00605814" w:rsidRPr="00861B09">
        <w:rPr>
          <w:rFonts w:eastAsia="Garamond-Book" w:cs="Garamond-Book"/>
          <w:color w:val="002060"/>
          <w:sz w:val="20"/>
          <w:szCs w:val="20"/>
        </w:rPr>
        <w:t xml:space="preserve"> </w:t>
      </w:r>
      <w:r w:rsidR="00605814" w:rsidRPr="00861B09">
        <w:rPr>
          <w:rFonts w:eastAsia="Garamond-Book" w:cs="Garamond-Book"/>
          <w:b/>
          <w:color w:val="002060"/>
          <w:sz w:val="20"/>
          <w:szCs w:val="20"/>
        </w:rPr>
        <w:t>le tiers</w:t>
      </w:r>
      <w:r w:rsidR="00605814" w:rsidRPr="00861B09">
        <w:rPr>
          <w:rFonts w:eastAsia="Garamond-Book" w:cs="Garamond-Book"/>
          <w:color w:val="002060"/>
          <w:sz w:val="20"/>
          <w:szCs w:val="20"/>
        </w:rPr>
        <w:t xml:space="preserve"> du total de l’actif stable </w:t>
      </w:r>
    </w:p>
    <w:p w:rsidR="00605814" w:rsidRPr="00861B09" w:rsidRDefault="00BF5B23" w:rsidP="00B403F9">
      <w:pPr>
        <w:autoSpaceDE w:val="0"/>
        <w:autoSpaceDN w:val="0"/>
        <w:adjustRightInd w:val="0"/>
        <w:ind w:left="397" w:hanging="170"/>
        <w:jc w:val="both"/>
        <w:rPr>
          <w:rFonts w:eastAsia="Garamond-Book" w:cs="Garamond-Book"/>
          <w:color w:val="002060"/>
          <w:sz w:val="20"/>
          <w:szCs w:val="20"/>
        </w:rPr>
      </w:pPr>
      <w:r>
        <w:rPr>
          <w:noProof/>
          <w:lang w:eastAsia="fr-FR"/>
        </w:rPr>
        <w:drawing>
          <wp:inline distT="0" distB="0" distL="0" distR="0">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Et</w:t>
      </w:r>
      <w:r w:rsidR="00605814" w:rsidRPr="00861B09">
        <w:rPr>
          <w:rFonts w:eastAsia="Garamond-Book" w:cs="Garamond-Book"/>
          <w:color w:val="002060"/>
          <w:sz w:val="20"/>
          <w:szCs w:val="20"/>
        </w:rPr>
        <w:t xml:space="preserve"> les deux autres tiers sont financ</w:t>
      </w:r>
      <w:r w:rsidR="008E62E1" w:rsidRPr="00861B09">
        <w:rPr>
          <w:rFonts w:eastAsia="Garamond-Book" w:cs="Garamond-Book"/>
          <w:color w:val="002060"/>
          <w:sz w:val="20"/>
          <w:szCs w:val="20"/>
        </w:rPr>
        <w:t>é</w:t>
      </w:r>
      <w:r w:rsidR="00605814" w:rsidRPr="00861B09">
        <w:rPr>
          <w:rFonts w:eastAsia="Garamond-Book" w:cs="Garamond-Book"/>
          <w:color w:val="002060"/>
          <w:sz w:val="20"/>
          <w:szCs w:val="20"/>
        </w:rPr>
        <w:t>s</w:t>
      </w:r>
      <w:r w:rsidR="0023661C" w:rsidRPr="00861B09">
        <w:rPr>
          <w:rFonts w:eastAsia="Garamond-Book" w:cs="Garamond-Book"/>
          <w:color w:val="002060"/>
          <w:sz w:val="20"/>
          <w:szCs w:val="20"/>
        </w:rPr>
        <w:t xml:space="preserve"> </w:t>
      </w:r>
      <w:r w:rsidR="00605814" w:rsidRPr="00861B09">
        <w:rPr>
          <w:rFonts w:eastAsia="Garamond-Book" w:cs="Garamond-Book"/>
          <w:color w:val="002060"/>
          <w:sz w:val="20"/>
          <w:szCs w:val="20"/>
        </w:rPr>
        <w:t>pour moiti</w:t>
      </w:r>
      <w:r w:rsidR="00ED5398" w:rsidRPr="00861B09">
        <w:rPr>
          <w:rFonts w:eastAsia="Garamond-Book" w:cs="Garamond-Book"/>
          <w:color w:val="002060"/>
          <w:sz w:val="20"/>
          <w:szCs w:val="20"/>
        </w:rPr>
        <w:t>é</w:t>
      </w:r>
      <w:r w:rsidR="00605814" w:rsidRPr="00861B09">
        <w:rPr>
          <w:rFonts w:eastAsia="Garamond-Book" w:cs="Garamond-Book"/>
          <w:color w:val="002060"/>
          <w:sz w:val="20"/>
          <w:szCs w:val="20"/>
        </w:rPr>
        <w:t xml:space="preserve"> par des capitaux propres (au minimum) et pour moiti</w:t>
      </w:r>
      <w:r w:rsidR="00ED5398" w:rsidRPr="00861B09">
        <w:rPr>
          <w:rFonts w:eastAsia="Garamond-Book" w:cs="Garamond-Book"/>
          <w:color w:val="002060"/>
          <w:sz w:val="20"/>
          <w:szCs w:val="20"/>
        </w:rPr>
        <w:t>é</w:t>
      </w:r>
      <w:r w:rsidR="00605814" w:rsidRPr="00861B09">
        <w:rPr>
          <w:rFonts w:eastAsia="Garamond-Book" w:cs="Garamond-Book"/>
          <w:color w:val="002060"/>
          <w:sz w:val="20"/>
          <w:szCs w:val="20"/>
        </w:rPr>
        <w:t xml:space="preserve"> par des dettes</w:t>
      </w:r>
      <w:r w:rsidR="0023661C" w:rsidRPr="00861B09">
        <w:rPr>
          <w:rFonts w:eastAsia="Garamond-Book" w:cs="Garamond-Book"/>
          <w:color w:val="002060"/>
          <w:sz w:val="20"/>
          <w:szCs w:val="20"/>
        </w:rPr>
        <w:t xml:space="preserve"> </w:t>
      </w:r>
      <w:r w:rsidR="007C2105" w:rsidRPr="00861B09">
        <w:rPr>
          <w:rFonts w:eastAsia="Garamond-Book" w:cs="Garamond-Book"/>
          <w:color w:val="002060"/>
          <w:sz w:val="20"/>
          <w:szCs w:val="20"/>
        </w:rPr>
        <w:t>à</w:t>
      </w:r>
      <w:r w:rsidR="00605814" w:rsidRPr="00861B09">
        <w:rPr>
          <w:rFonts w:eastAsia="Garamond-Book" w:cs="Garamond-Book"/>
          <w:color w:val="002060"/>
          <w:sz w:val="20"/>
          <w:szCs w:val="20"/>
        </w:rPr>
        <w:t xml:space="preserve"> long terme (au minimum).</w:t>
      </w:r>
    </w:p>
    <w:p w:rsidR="00BF5B23" w:rsidRPr="00B403F9" w:rsidRDefault="00605814" w:rsidP="00BF5B23">
      <w:pPr>
        <w:autoSpaceDE w:val="0"/>
        <w:autoSpaceDN w:val="0"/>
        <w:adjustRightInd w:val="0"/>
        <w:spacing w:after="0"/>
        <w:ind w:left="0" w:firstLine="0"/>
        <w:jc w:val="both"/>
        <w:rPr>
          <w:rFonts w:cs="Garamond-BoldCondensed"/>
          <w:bCs/>
          <w:color w:val="002060"/>
          <w:sz w:val="20"/>
          <w:szCs w:val="20"/>
        </w:rPr>
      </w:pPr>
      <w:r w:rsidRPr="00B403F9">
        <w:rPr>
          <w:rFonts w:cs="Garamond-BoldCondensed"/>
          <w:bCs/>
          <w:color w:val="002060"/>
          <w:sz w:val="20"/>
          <w:szCs w:val="20"/>
        </w:rPr>
        <w:t>4</w:t>
      </w:r>
      <w:r w:rsidR="00B403F9" w:rsidRPr="00B403F9">
        <w:rPr>
          <w:rFonts w:cs="Garamond-BoldCondensed"/>
          <w:bCs/>
          <w:color w:val="002060"/>
          <w:sz w:val="20"/>
          <w:szCs w:val="18"/>
        </w:rPr>
        <w:t>.</w:t>
      </w:r>
      <w:r w:rsidR="00B403F9">
        <w:rPr>
          <w:rFonts w:cs="Garamond-BoldCondensed"/>
          <w:bCs/>
          <w:color w:val="002060"/>
          <w:sz w:val="20"/>
          <w:szCs w:val="20"/>
        </w:rPr>
        <w:t xml:space="preserve">  </w:t>
      </w:r>
      <w:r w:rsidRPr="00861B09">
        <w:rPr>
          <w:rFonts w:eastAsia="Garamond-Book" w:cs="Garamond-Book"/>
          <w:color w:val="002060"/>
          <w:sz w:val="20"/>
          <w:szCs w:val="20"/>
        </w:rPr>
        <w:t xml:space="preserve">Pour conserver son </w:t>
      </w:r>
      <w:r w:rsidR="0023661C" w:rsidRPr="00861B09">
        <w:rPr>
          <w:rFonts w:eastAsia="Garamond-Book" w:cs="Garamond-Book"/>
          <w:color w:val="002060"/>
          <w:sz w:val="20"/>
          <w:szCs w:val="20"/>
        </w:rPr>
        <w:t>indépendance</w:t>
      </w:r>
      <w:r w:rsidRPr="00861B09">
        <w:rPr>
          <w:rFonts w:eastAsia="Garamond-Book" w:cs="Garamond-Book"/>
          <w:color w:val="002060"/>
          <w:sz w:val="20"/>
          <w:szCs w:val="20"/>
        </w:rPr>
        <w:t xml:space="preserve">, l’entreprise doit </w:t>
      </w:r>
      <w:r w:rsidR="0023661C" w:rsidRPr="00861B09">
        <w:rPr>
          <w:rFonts w:eastAsia="Garamond-Book" w:cs="Garamond-Book"/>
          <w:color w:val="002060"/>
          <w:sz w:val="20"/>
          <w:szCs w:val="20"/>
        </w:rPr>
        <w:t>dégager</w:t>
      </w:r>
      <w:r w:rsidRPr="00861B09">
        <w:rPr>
          <w:rFonts w:eastAsia="Garamond-Book" w:cs="Garamond-Book"/>
          <w:color w:val="002060"/>
          <w:sz w:val="20"/>
          <w:szCs w:val="20"/>
        </w:rPr>
        <w:t xml:space="preserve"> un </w:t>
      </w:r>
      <w:r w:rsidR="00BF5B23">
        <w:rPr>
          <w:rFonts w:eastAsia="Garamond-Book" w:cs="Garamond-Book"/>
          <w:color w:val="002060"/>
          <w:sz w:val="20"/>
          <w:szCs w:val="20"/>
        </w:rPr>
        <w:t>excédent brut d’exploitation (</w:t>
      </w:r>
      <w:r w:rsidRPr="00861B09">
        <w:rPr>
          <w:rFonts w:eastAsia="Garamond-Book" w:cs="Garamond-Book"/>
          <w:color w:val="002060"/>
          <w:sz w:val="20"/>
          <w:szCs w:val="20"/>
        </w:rPr>
        <w:t>EBE</w:t>
      </w:r>
      <w:r w:rsidR="00BF5B23">
        <w:rPr>
          <w:rFonts w:eastAsia="Garamond-Book" w:cs="Garamond-Book"/>
          <w:color w:val="002060"/>
          <w:sz w:val="20"/>
          <w:szCs w:val="20"/>
        </w:rPr>
        <w:t>)</w:t>
      </w:r>
      <w:r w:rsidR="0023661C" w:rsidRPr="00861B09">
        <w:rPr>
          <w:rFonts w:eastAsia="Garamond-Book" w:cs="Garamond-Book"/>
          <w:color w:val="002060"/>
          <w:sz w:val="20"/>
          <w:szCs w:val="20"/>
        </w:rPr>
        <w:t xml:space="preserve"> </w:t>
      </w:r>
      <w:r w:rsidRPr="00861B09">
        <w:rPr>
          <w:rFonts w:eastAsia="Garamond-Book" w:cs="Garamond-Book"/>
          <w:color w:val="002060"/>
          <w:sz w:val="20"/>
          <w:szCs w:val="20"/>
        </w:rPr>
        <w:t>lui permettant</w:t>
      </w:r>
      <w:r w:rsidR="00BF5B23">
        <w:rPr>
          <w:rFonts w:eastAsia="Garamond-Book" w:cs="Garamond-Book"/>
          <w:color w:val="002060"/>
          <w:sz w:val="20"/>
          <w:szCs w:val="20"/>
        </w:rPr>
        <w:t> :</w:t>
      </w:r>
    </w:p>
    <w:p w:rsidR="00BF5B23" w:rsidRDefault="00BF5B23" w:rsidP="00B403F9">
      <w:pPr>
        <w:autoSpaceDE w:val="0"/>
        <w:autoSpaceDN w:val="0"/>
        <w:adjustRightInd w:val="0"/>
        <w:spacing w:after="4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De</w:t>
      </w:r>
      <w:r w:rsidR="00605814" w:rsidRPr="00861B09">
        <w:rPr>
          <w:rFonts w:eastAsia="Garamond-Book" w:cs="Garamond-Book"/>
          <w:color w:val="002060"/>
          <w:sz w:val="20"/>
          <w:szCs w:val="20"/>
        </w:rPr>
        <w:t xml:space="preserve"> couvrir le paiement des charges </w:t>
      </w:r>
      <w:r w:rsidR="0023661C" w:rsidRPr="00861B09">
        <w:rPr>
          <w:rFonts w:eastAsia="Garamond-Book" w:cs="Garamond-Book"/>
          <w:color w:val="002060"/>
          <w:sz w:val="20"/>
          <w:szCs w:val="20"/>
        </w:rPr>
        <w:t>financières</w:t>
      </w:r>
      <w:r w:rsidR="00605814" w:rsidRPr="00861B09">
        <w:rPr>
          <w:rFonts w:eastAsia="Garamond-Book" w:cs="Garamond-Book"/>
          <w:color w:val="002060"/>
          <w:sz w:val="20"/>
          <w:szCs w:val="20"/>
        </w:rPr>
        <w:t xml:space="preserve">, </w:t>
      </w:r>
    </w:p>
    <w:p w:rsidR="00BF5B23" w:rsidRDefault="00BF5B23" w:rsidP="00B403F9">
      <w:pPr>
        <w:autoSpaceDE w:val="0"/>
        <w:autoSpaceDN w:val="0"/>
        <w:adjustRightInd w:val="0"/>
        <w:spacing w:after="4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Le</w:t>
      </w:r>
      <w:r w:rsidR="00605814" w:rsidRPr="00861B09">
        <w:rPr>
          <w:rFonts w:eastAsia="Garamond-Book" w:cs="Garamond-Book"/>
          <w:color w:val="002060"/>
          <w:sz w:val="20"/>
          <w:szCs w:val="20"/>
        </w:rPr>
        <w:t xml:space="preserve"> remboursement</w:t>
      </w:r>
      <w:r w:rsidR="0023661C" w:rsidRPr="00861B09">
        <w:rPr>
          <w:rFonts w:eastAsia="Garamond-Book" w:cs="Garamond-Book"/>
          <w:color w:val="002060"/>
          <w:sz w:val="20"/>
          <w:szCs w:val="20"/>
        </w:rPr>
        <w:t xml:space="preserve"> </w:t>
      </w:r>
      <w:r w:rsidR="00605814" w:rsidRPr="00861B09">
        <w:rPr>
          <w:rFonts w:eastAsia="Garamond-Book" w:cs="Garamond-Book"/>
          <w:color w:val="002060"/>
          <w:sz w:val="20"/>
          <w:szCs w:val="20"/>
        </w:rPr>
        <w:t xml:space="preserve">des </w:t>
      </w:r>
      <w:r w:rsidR="0023661C" w:rsidRPr="00861B09">
        <w:rPr>
          <w:rFonts w:eastAsia="Garamond-Book" w:cs="Garamond-Book"/>
          <w:color w:val="002060"/>
          <w:sz w:val="20"/>
          <w:szCs w:val="20"/>
        </w:rPr>
        <w:t>annuités</w:t>
      </w:r>
      <w:r w:rsidR="00605814" w:rsidRPr="00861B09">
        <w:rPr>
          <w:rFonts w:eastAsia="Garamond-Book" w:cs="Garamond-Book"/>
          <w:color w:val="002060"/>
          <w:sz w:val="20"/>
          <w:szCs w:val="20"/>
        </w:rPr>
        <w:t xml:space="preserve"> d’emprunts, </w:t>
      </w:r>
    </w:p>
    <w:p w:rsidR="00BF5B23" w:rsidRDefault="00BF5B23" w:rsidP="00B403F9">
      <w:pPr>
        <w:autoSpaceDE w:val="0"/>
        <w:autoSpaceDN w:val="0"/>
        <w:adjustRightInd w:val="0"/>
        <w:spacing w:after="4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Le</w:t>
      </w:r>
      <w:r w:rsidR="00605814" w:rsidRPr="00861B09">
        <w:rPr>
          <w:rFonts w:eastAsia="Garamond-Book" w:cs="Garamond-Book"/>
          <w:color w:val="002060"/>
          <w:sz w:val="20"/>
          <w:szCs w:val="20"/>
        </w:rPr>
        <w:t xml:space="preserve"> paiement de l’</w:t>
      </w:r>
      <w:r w:rsidR="0023661C" w:rsidRPr="00861B09">
        <w:rPr>
          <w:rFonts w:eastAsia="Garamond-Book" w:cs="Garamond-Book"/>
          <w:color w:val="002060"/>
          <w:sz w:val="20"/>
          <w:szCs w:val="20"/>
        </w:rPr>
        <w:t>impôt</w:t>
      </w:r>
      <w:r w:rsidR="00605814" w:rsidRPr="00861B09">
        <w:rPr>
          <w:rFonts w:eastAsia="Garamond-Book" w:cs="Garamond-Book"/>
          <w:color w:val="002060"/>
          <w:sz w:val="20"/>
          <w:szCs w:val="20"/>
        </w:rPr>
        <w:t xml:space="preserve"> sur les </w:t>
      </w:r>
      <w:r w:rsidR="0023661C" w:rsidRPr="00861B09">
        <w:rPr>
          <w:rFonts w:eastAsia="Garamond-Book" w:cs="Garamond-Book"/>
          <w:color w:val="002060"/>
          <w:sz w:val="20"/>
          <w:szCs w:val="20"/>
        </w:rPr>
        <w:t>résultats</w:t>
      </w:r>
      <w:r w:rsidR="00605814" w:rsidRPr="00861B09">
        <w:rPr>
          <w:rFonts w:eastAsia="Garamond-Book" w:cs="Garamond-Book"/>
          <w:color w:val="002060"/>
          <w:sz w:val="20"/>
          <w:szCs w:val="20"/>
        </w:rPr>
        <w:t xml:space="preserve">, </w:t>
      </w:r>
    </w:p>
    <w:p w:rsidR="00BF5B23" w:rsidRDefault="00BF5B23" w:rsidP="00B403F9">
      <w:pPr>
        <w:autoSpaceDE w:val="0"/>
        <w:autoSpaceDN w:val="0"/>
        <w:adjustRightInd w:val="0"/>
        <w:spacing w:after="4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Le</w:t>
      </w:r>
      <w:r w:rsidR="00605814" w:rsidRPr="00861B09">
        <w:rPr>
          <w:rFonts w:eastAsia="Garamond-Book" w:cs="Garamond-Book"/>
          <w:color w:val="002060"/>
          <w:sz w:val="20"/>
          <w:szCs w:val="20"/>
        </w:rPr>
        <w:t xml:space="preserve"> paiement des</w:t>
      </w:r>
      <w:r w:rsidR="0023661C" w:rsidRPr="00861B09">
        <w:rPr>
          <w:rFonts w:eastAsia="Garamond-Book" w:cs="Garamond-Book"/>
          <w:color w:val="002060"/>
          <w:sz w:val="20"/>
          <w:szCs w:val="20"/>
        </w:rPr>
        <w:t xml:space="preserve"> </w:t>
      </w:r>
      <w:r w:rsidR="00605814" w:rsidRPr="00861B09">
        <w:rPr>
          <w:rFonts w:eastAsia="Garamond-Book" w:cs="Garamond-Book"/>
          <w:color w:val="002060"/>
          <w:sz w:val="20"/>
          <w:szCs w:val="20"/>
        </w:rPr>
        <w:t xml:space="preserve">dividendes requis, </w:t>
      </w:r>
    </w:p>
    <w:p w:rsidR="00BF5B23" w:rsidRDefault="00BF5B23" w:rsidP="00B403F9">
      <w:pPr>
        <w:autoSpaceDE w:val="0"/>
        <w:autoSpaceDN w:val="0"/>
        <w:adjustRightInd w:val="0"/>
        <w:spacing w:after="4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Le</w:t>
      </w:r>
      <w:r w:rsidR="00605814" w:rsidRPr="00861B09">
        <w:rPr>
          <w:rFonts w:eastAsia="Garamond-Book" w:cs="Garamond-Book"/>
          <w:color w:val="002060"/>
          <w:sz w:val="20"/>
          <w:szCs w:val="20"/>
        </w:rPr>
        <w:t xml:space="preserve"> maintien des actifs existants, </w:t>
      </w:r>
    </w:p>
    <w:p w:rsidR="00BF5B23" w:rsidRDefault="00BF5B23" w:rsidP="00B403F9">
      <w:pPr>
        <w:autoSpaceDE w:val="0"/>
        <w:autoSpaceDN w:val="0"/>
        <w:adjustRightInd w:val="0"/>
        <w:spacing w:after="4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Le</w:t>
      </w:r>
      <w:r w:rsidR="00605814" w:rsidRPr="00861B09">
        <w:rPr>
          <w:rFonts w:eastAsia="Garamond-Book" w:cs="Garamond-Book"/>
          <w:color w:val="002060"/>
          <w:sz w:val="20"/>
          <w:szCs w:val="20"/>
        </w:rPr>
        <w:t xml:space="preserve"> financement de l’</w:t>
      </w:r>
      <w:r w:rsidR="00A433D3" w:rsidRPr="00861B09">
        <w:rPr>
          <w:rFonts w:eastAsia="Garamond-Book" w:cs="Garamond-Book"/>
          <w:color w:val="002060"/>
          <w:sz w:val="20"/>
          <w:szCs w:val="20"/>
        </w:rPr>
        <w:t>accroissement</w:t>
      </w:r>
      <w:r w:rsidR="0023661C" w:rsidRPr="00861B09">
        <w:rPr>
          <w:rFonts w:eastAsia="Garamond-Book" w:cs="Garamond-Book"/>
          <w:color w:val="002060"/>
          <w:sz w:val="20"/>
          <w:szCs w:val="20"/>
        </w:rPr>
        <w:t xml:space="preserve"> </w:t>
      </w:r>
      <w:r w:rsidR="00605814" w:rsidRPr="00861B09">
        <w:rPr>
          <w:rFonts w:eastAsia="Garamond-Book" w:cs="Garamond-Book"/>
          <w:color w:val="002060"/>
          <w:sz w:val="20"/>
          <w:szCs w:val="20"/>
        </w:rPr>
        <w:t xml:space="preserve">du </w:t>
      </w:r>
      <w:r>
        <w:rPr>
          <w:rFonts w:eastAsia="Garamond-Book" w:cs="Garamond-Book"/>
          <w:color w:val="002060"/>
          <w:sz w:val="20"/>
          <w:szCs w:val="20"/>
        </w:rPr>
        <w:t>besoin en fonds de roulement (</w:t>
      </w:r>
      <w:r w:rsidR="00605814" w:rsidRPr="00861B09">
        <w:rPr>
          <w:rFonts w:eastAsia="Garamond-Book" w:cs="Garamond-Book"/>
          <w:color w:val="002060"/>
          <w:sz w:val="20"/>
          <w:szCs w:val="20"/>
        </w:rPr>
        <w:t>BFR</w:t>
      </w:r>
      <w:r>
        <w:rPr>
          <w:rFonts w:eastAsia="Garamond-Book" w:cs="Garamond-Book"/>
          <w:color w:val="002060"/>
          <w:sz w:val="20"/>
          <w:szCs w:val="20"/>
        </w:rPr>
        <w:t>),</w:t>
      </w:r>
      <w:r w:rsidR="00605814" w:rsidRPr="00861B09">
        <w:rPr>
          <w:rFonts w:eastAsia="Garamond-Book" w:cs="Garamond-Book"/>
          <w:color w:val="002060"/>
          <w:sz w:val="20"/>
          <w:szCs w:val="20"/>
        </w:rPr>
        <w:t xml:space="preserve"> </w:t>
      </w:r>
    </w:p>
    <w:p w:rsidR="00605814" w:rsidRPr="00861B09" w:rsidRDefault="00BF5B23" w:rsidP="00B403F9">
      <w:pPr>
        <w:autoSpaceDE w:val="0"/>
        <w:autoSpaceDN w:val="0"/>
        <w:adjustRightInd w:val="0"/>
        <w:ind w:left="227" w:firstLine="0"/>
        <w:jc w:val="both"/>
        <w:rPr>
          <w:rFonts w:eastAsia="Garamond-Book" w:cs="Garamond-Book"/>
          <w:color w:val="002060"/>
          <w:sz w:val="20"/>
          <w:szCs w:val="20"/>
        </w:rPr>
      </w:pPr>
      <w:r w:rsidRPr="005A27E3">
        <w:rPr>
          <w:noProof/>
          <w:lang w:eastAsia="fr-FR"/>
        </w:rPr>
        <w:drawing>
          <wp:inline distT="0" distB="0" distL="0" distR="0">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861B09">
        <w:rPr>
          <w:rFonts w:eastAsia="Garamond-Book" w:cs="Garamond-Book"/>
          <w:color w:val="002060"/>
          <w:sz w:val="20"/>
          <w:szCs w:val="20"/>
        </w:rPr>
        <w:t>Et</w:t>
      </w:r>
      <w:r w:rsidR="00605814" w:rsidRPr="00861B09">
        <w:rPr>
          <w:rFonts w:eastAsia="Garamond-Book" w:cs="Garamond-Book"/>
          <w:color w:val="002060"/>
          <w:sz w:val="20"/>
          <w:szCs w:val="20"/>
        </w:rPr>
        <w:t xml:space="preserve"> le financement des investissements de </w:t>
      </w:r>
      <w:r w:rsidR="0023661C" w:rsidRPr="00861B09">
        <w:rPr>
          <w:rFonts w:eastAsia="Garamond-Book" w:cs="Garamond-Book"/>
          <w:color w:val="002060"/>
          <w:sz w:val="20"/>
          <w:szCs w:val="20"/>
        </w:rPr>
        <w:t>développement</w:t>
      </w:r>
      <w:r w:rsidR="00605814" w:rsidRPr="00861B09">
        <w:rPr>
          <w:rFonts w:eastAsia="Garamond-Book" w:cs="Garamond-Book"/>
          <w:color w:val="002060"/>
          <w:sz w:val="20"/>
          <w:szCs w:val="20"/>
        </w:rPr>
        <w:t>.</w:t>
      </w:r>
    </w:p>
    <w:p w:rsidR="00605814" w:rsidRPr="00861B09" w:rsidRDefault="00605814" w:rsidP="00A433D3">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Ces </w:t>
      </w:r>
      <w:r w:rsidR="0023661C" w:rsidRPr="00861B09">
        <w:rPr>
          <w:rFonts w:eastAsia="Garamond-Book" w:cs="Garamond-Book"/>
          <w:color w:val="002060"/>
          <w:sz w:val="20"/>
          <w:szCs w:val="20"/>
        </w:rPr>
        <w:t>règles</w:t>
      </w:r>
      <w:r w:rsidRPr="00861B09">
        <w:rPr>
          <w:rFonts w:eastAsia="Garamond-Book" w:cs="Garamond-Book"/>
          <w:color w:val="002060"/>
          <w:sz w:val="20"/>
          <w:szCs w:val="20"/>
        </w:rPr>
        <w:t xml:space="preserve">, dont la traduction </w:t>
      </w:r>
      <w:r w:rsidR="0023661C" w:rsidRPr="00861B09">
        <w:rPr>
          <w:rFonts w:eastAsia="Garamond-Book" w:cs="Garamond-Book"/>
          <w:color w:val="002060"/>
          <w:sz w:val="20"/>
          <w:szCs w:val="20"/>
        </w:rPr>
        <w:t>opérationnelle</w:t>
      </w:r>
      <w:r w:rsidRPr="00861B09">
        <w:rPr>
          <w:rFonts w:eastAsia="Garamond-Book" w:cs="Garamond-Book"/>
          <w:color w:val="002060"/>
          <w:sz w:val="20"/>
          <w:szCs w:val="20"/>
        </w:rPr>
        <w:t xml:space="preserve"> prend des formes </w:t>
      </w:r>
      <w:r w:rsidR="0023661C" w:rsidRPr="00861B09">
        <w:rPr>
          <w:rFonts w:eastAsia="Garamond-Book" w:cs="Garamond-Book"/>
          <w:color w:val="002060"/>
          <w:sz w:val="20"/>
          <w:szCs w:val="20"/>
        </w:rPr>
        <w:t>légèrement</w:t>
      </w:r>
      <w:r w:rsidRPr="00861B09">
        <w:rPr>
          <w:rFonts w:eastAsia="Garamond-Book" w:cs="Garamond-Book"/>
          <w:color w:val="002060"/>
          <w:sz w:val="20"/>
          <w:szCs w:val="20"/>
        </w:rPr>
        <w:t xml:space="preserve"> </w:t>
      </w:r>
      <w:r w:rsidR="0023661C" w:rsidRPr="00861B09">
        <w:rPr>
          <w:rFonts w:eastAsia="Garamond-Book" w:cs="Garamond-Book"/>
          <w:color w:val="002060"/>
          <w:sz w:val="20"/>
          <w:szCs w:val="20"/>
        </w:rPr>
        <w:t xml:space="preserve">différentes </w:t>
      </w:r>
      <w:r w:rsidRPr="00861B09">
        <w:rPr>
          <w:rFonts w:eastAsia="Garamond-Book" w:cs="Garamond-Book"/>
          <w:color w:val="002060"/>
          <w:sz w:val="20"/>
          <w:szCs w:val="20"/>
        </w:rPr>
        <w:t xml:space="preserve">selon les </w:t>
      </w:r>
      <w:r w:rsidR="0023661C" w:rsidRPr="00861B09">
        <w:rPr>
          <w:rFonts w:eastAsia="Garamond-Book" w:cs="Garamond-Book"/>
          <w:color w:val="002060"/>
          <w:sz w:val="20"/>
          <w:szCs w:val="20"/>
        </w:rPr>
        <w:t>établissements</w:t>
      </w:r>
      <w:r w:rsidRPr="00861B09">
        <w:rPr>
          <w:rFonts w:eastAsia="Garamond-Book" w:cs="Garamond-Book"/>
          <w:color w:val="002060"/>
          <w:sz w:val="20"/>
          <w:szCs w:val="20"/>
        </w:rPr>
        <w:t xml:space="preserve"> de </w:t>
      </w:r>
      <w:r w:rsidR="0023661C" w:rsidRPr="00861B09">
        <w:rPr>
          <w:rFonts w:eastAsia="Garamond-Book" w:cs="Garamond-Book"/>
          <w:color w:val="002060"/>
          <w:sz w:val="20"/>
          <w:szCs w:val="20"/>
        </w:rPr>
        <w:t>crédits</w:t>
      </w:r>
      <w:r w:rsidRPr="00861B09">
        <w:rPr>
          <w:rFonts w:eastAsia="Garamond-Book" w:cs="Garamond-Book"/>
          <w:color w:val="002060"/>
          <w:sz w:val="20"/>
          <w:szCs w:val="20"/>
        </w:rPr>
        <w:t xml:space="preserve">, </w:t>
      </w:r>
      <w:r w:rsidR="0023661C" w:rsidRPr="00861B09">
        <w:rPr>
          <w:rFonts w:eastAsia="Garamond-Book" w:cs="Garamond-Book"/>
          <w:color w:val="002060"/>
          <w:sz w:val="20"/>
          <w:szCs w:val="20"/>
        </w:rPr>
        <w:t>débouchent</w:t>
      </w:r>
      <w:r w:rsidRPr="00861B09">
        <w:rPr>
          <w:rFonts w:eastAsia="Garamond-Book" w:cs="Garamond-Book"/>
          <w:color w:val="002060"/>
          <w:sz w:val="20"/>
          <w:szCs w:val="20"/>
        </w:rPr>
        <w:t xml:space="preserve"> sur des normes qui s’expriment</w:t>
      </w:r>
      <w:r w:rsidR="0023661C" w:rsidRPr="00861B09">
        <w:rPr>
          <w:rFonts w:eastAsia="Garamond-Book" w:cs="Garamond-Book"/>
          <w:color w:val="002060"/>
          <w:sz w:val="20"/>
          <w:szCs w:val="20"/>
        </w:rPr>
        <w:t xml:space="preserve"> </w:t>
      </w:r>
      <w:r w:rsidR="0047651B" w:rsidRPr="00861B09">
        <w:rPr>
          <w:rFonts w:eastAsia="Garamond-Book" w:cs="Garamond-Book"/>
          <w:color w:val="002060"/>
          <w:sz w:val="20"/>
          <w:szCs w:val="20"/>
        </w:rPr>
        <w:t>à</w:t>
      </w:r>
      <w:r w:rsidRPr="00861B09">
        <w:rPr>
          <w:rFonts w:eastAsia="Garamond-Book" w:cs="Garamond-Book"/>
          <w:color w:val="002060"/>
          <w:sz w:val="20"/>
          <w:szCs w:val="20"/>
        </w:rPr>
        <w:t xml:space="preserve"> travers des ratios.</w:t>
      </w:r>
    </w:p>
    <w:p w:rsidR="00605814" w:rsidRPr="00861B09" w:rsidRDefault="00605814" w:rsidP="00652F22">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Ces derniers s’organisent globalement autour de</w:t>
      </w:r>
      <w:r w:rsidR="00B403F9">
        <w:rPr>
          <w:rFonts w:eastAsia="Garamond-Book" w:cs="Garamond-Book"/>
          <w:color w:val="002060"/>
          <w:sz w:val="20"/>
          <w:szCs w:val="20"/>
        </w:rPr>
        <w:t xml:space="preserve"> </w:t>
      </w:r>
      <w:r w:rsidR="00BF5B23">
        <w:rPr>
          <w:rFonts w:eastAsia="Garamond-Book" w:cs="Garamond-Book"/>
          <w:color w:val="002060"/>
          <w:sz w:val="20"/>
          <w:szCs w:val="20"/>
        </w:rPr>
        <w:t>3</w:t>
      </w:r>
      <w:r w:rsidRPr="00861B09">
        <w:rPr>
          <w:rFonts w:eastAsia="Garamond-Book" w:cs="Garamond-Book"/>
          <w:color w:val="002060"/>
          <w:sz w:val="20"/>
          <w:szCs w:val="20"/>
        </w:rPr>
        <w:t xml:space="preserve"> </w:t>
      </w:r>
      <w:r w:rsidR="0023661C" w:rsidRPr="00861B09">
        <w:rPr>
          <w:rFonts w:eastAsia="Garamond-Book" w:cs="Garamond-Book"/>
          <w:color w:val="002060"/>
          <w:sz w:val="20"/>
          <w:szCs w:val="20"/>
        </w:rPr>
        <w:t>thématiques</w:t>
      </w:r>
      <w:r w:rsidRPr="00861B09">
        <w:rPr>
          <w:rFonts w:eastAsia="Garamond-Book" w:cs="Garamond-Book"/>
          <w:color w:val="002060"/>
          <w:sz w:val="20"/>
          <w:szCs w:val="20"/>
        </w:rPr>
        <w:t xml:space="preserve"> :</w:t>
      </w:r>
    </w:p>
    <w:p w:rsidR="00605814" w:rsidRPr="00861B09" w:rsidRDefault="00B403F9" w:rsidP="00652F22">
      <w:pPr>
        <w:pStyle w:val="Paragraphedeliste"/>
        <w:autoSpaceDE w:val="0"/>
        <w:autoSpaceDN w:val="0"/>
        <w:adjustRightInd w:val="0"/>
        <w:ind w:left="0" w:firstLine="0"/>
        <w:contextualSpacing w:val="0"/>
        <w:jc w:val="both"/>
        <w:rPr>
          <w:rFonts w:eastAsia="Garamond-Book" w:cs="Garamond-Book"/>
          <w:color w:val="002060"/>
          <w:sz w:val="20"/>
          <w:szCs w:val="20"/>
        </w:rPr>
      </w:pPr>
      <w:r>
        <w:rPr>
          <w:rFonts w:eastAsia="Garamond-Book" w:cs="Garamond-Book"/>
          <w:color w:val="002060"/>
          <w:sz w:val="20"/>
          <w:szCs w:val="20"/>
        </w:rPr>
        <w:t xml:space="preserve">1. </w:t>
      </w:r>
      <w:r w:rsidR="00DC29F8" w:rsidRPr="00861B09">
        <w:rPr>
          <w:rFonts w:eastAsia="Garamond-Book" w:cs="Garamond-Book"/>
          <w:color w:val="002060"/>
          <w:sz w:val="20"/>
          <w:szCs w:val="20"/>
        </w:rPr>
        <w:t>Le</w:t>
      </w:r>
      <w:r w:rsidR="00605814" w:rsidRPr="00861B09">
        <w:rPr>
          <w:rFonts w:eastAsia="Garamond-Book" w:cs="Garamond-Book"/>
          <w:color w:val="002060"/>
          <w:sz w:val="20"/>
          <w:szCs w:val="20"/>
        </w:rPr>
        <w:t xml:space="preserve"> niveau de l’endettement, qui </w:t>
      </w:r>
      <w:r w:rsidR="0023661C" w:rsidRPr="00861B09">
        <w:rPr>
          <w:rFonts w:eastAsia="Garamond-Book" w:cs="Garamond-Book"/>
          <w:color w:val="002060"/>
          <w:sz w:val="20"/>
          <w:szCs w:val="20"/>
        </w:rPr>
        <w:t>débouche</w:t>
      </w:r>
      <w:r w:rsidR="00605814" w:rsidRPr="00861B09">
        <w:rPr>
          <w:rFonts w:eastAsia="Garamond-Book" w:cs="Garamond-Book"/>
          <w:color w:val="002060"/>
          <w:sz w:val="20"/>
          <w:szCs w:val="20"/>
        </w:rPr>
        <w:t xml:space="preserve"> sur des analyses de l’</w:t>
      </w:r>
      <w:r w:rsidR="0023661C" w:rsidRPr="00861B09">
        <w:rPr>
          <w:rFonts w:eastAsia="Garamond-Book" w:cs="Garamond-Book"/>
          <w:color w:val="002060"/>
          <w:sz w:val="20"/>
          <w:szCs w:val="20"/>
        </w:rPr>
        <w:t>indépendance financière</w:t>
      </w:r>
      <w:r w:rsidR="00605814" w:rsidRPr="00861B09">
        <w:rPr>
          <w:rFonts w:eastAsia="Garamond-Book" w:cs="Garamond-Book"/>
          <w:color w:val="002060"/>
          <w:sz w:val="20"/>
          <w:szCs w:val="20"/>
        </w:rPr>
        <w:t xml:space="preserve"> de l’entreprise ;</w:t>
      </w:r>
    </w:p>
    <w:p w:rsidR="00605814" w:rsidRPr="00861B09" w:rsidRDefault="00B403F9" w:rsidP="00652F22">
      <w:pPr>
        <w:pStyle w:val="Paragraphedeliste"/>
        <w:autoSpaceDE w:val="0"/>
        <w:autoSpaceDN w:val="0"/>
        <w:adjustRightInd w:val="0"/>
        <w:ind w:left="0" w:firstLine="0"/>
        <w:contextualSpacing w:val="0"/>
        <w:jc w:val="both"/>
        <w:rPr>
          <w:rFonts w:eastAsia="Garamond-Book" w:cs="Garamond-Book"/>
          <w:color w:val="002060"/>
          <w:sz w:val="20"/>
          <w:szCs w:val="20"/>
        </w:rPr>
      </w:pPr>
      <w:r>
        <w:rPr>
          <w:rFonts w:eastAsia="Garamond-Book" w:cs="Garamond-Book"/>
          <w:color w:val="002060"/>
          <w:sz w:val="20"/>
          <w:szCs w:val="20"/>
        </w:rPr>
        <w:t xml:space="preserve">2. </w:t>
      </w:r>
      <w:r w:rsidR="00DC29F8" w:rsidRPr="00861B09">
        <w:rPr>
          <w:rFonts w:eastAsia="Garamond-Book" w:cs="Garamond-Book"/>
          <w:color w:val="002060"/>
          <w:sz w:val="20"/>
          <w:szCs w:val="20"/>
        </w:rPr>
        <w:t>La</w:t>
      </w:r>
      <w:r w:rsidR="00605814" w:rsidRPr="00861B09">
        <w:rPr>
          <w:rFonts w:eastAsia="Garamond-Book" w:cs="Garamond-Book"/>
          <w:color w:val="002060"/>
          <w:sz w:val="20"/>
          <w:szCs w:val="20"/>
        </w:rPr>
        <w:t xml:space="preserve"> structure interne de l’endettement ;</w:t>
      </w:r>
    </w:p>
    <w:p w:rsidR="00605814" w:rsidRPr="00861B09" w:rsidRDefault="00B403F9" w:rsidP="00652F22">
      <w:pPr>
        <w:pStyle w:val="Paragraphedeliste"/>
        <w:autoSpaceDE w:val="0"/>
        <w:autoSpaceDN w:val="0"/>
        <w:adjustRightInd w:val="0"/>
        <w:spacing w:after="120"/>
        <w:ind w:left="0" w:firstLine="0"/>
        <w:contextualSpacing w:val="0"/>
        <w:jc w:val="both"/>
        <w:rPr>
          <w:rFonts w:eastAsia="Garamond-Book" w:cs="Garamond-Book"/>
          <w:color w:val="002060"/>
          <w:sz w:val="20"/>
          <w:szCs w:val="20"/>
        </w:rPr>
      </w:pPr>
      <w:r>
        <w:rPr>
          <w:rFonts w:eastAsia="Garamond-Book" w:cs="Garamond-Book"/>
          <w:color w:val="002060"/>
          <w:sz w:val="20"/>
          <w:szCs w:val="20"/>
        </w:rPr>
        <w:t xml:space="preserve">3. </w:t>
      </w:r>
      <w:r w:rsidR="00DC29F8" w:rsidRPr="00861B09">
        <w:rPr>
          <w:rFonts w:eastAsia="Garamond-Book" w:cs="Garamond-Book"/>
          <w:color w:val="002060"/>
          <w:sz w:val="20"/>
          <w:szCs w:val="20"/>
        </w:rPr>
        <w:t>Le</w:t>
      </w:r>
      <w:r w:rsidR="00605814" w:rsidRPr="00861B09">
        <w:rPr>
          <w:rFonts w:eastAsia="Garamond-Book" w:cs="Garamond-Book"/>
          <w:color w:val="002060"/>
          <w:sz w:val="20"/>
          <w:szCs w:val="20"/>
        </w:rPr>
        <w:t xml:space="preserve"> poids de l’endettement</w:t>
      </w:r>
    </w:p>
    <w:p w:rsidR="0023661C" w:rsidRPr="005461AB" w:rsidRDefault="0023661C" w:rsidP="000461D9">
      <w:pPr>
        <w:pStyle w:val="Paragraphedeliste"/>
        <w:numPr>
          <w:ilvl w:val="0"/>
          <w:numId w:val="2"/>
        </w:numPr>
        <w:autoSpaceDE w:val="0"/>
        <w:autoSpaceDN w:val="0"/>
        <w:adjustRightInd w:val="0"/>
        <w:ind w:left="170" w:hanging="170"/>
        <w:jc w:val="both"/>
        <w:rPr>
          <w:rFonts w:cs="Helvetica-Condensed-Black"/>
          <w:b/>
          <w:color w:val="002060"/>
          <w:sz w:val="20"/>
          <w:szCs w:val="40"/>
        </w:rPr>
      </w:pPr>
      <w:r w:rsidRPr="005461AB">
        <w:rPr>
          <w:rFonts w:cs="Helvetica-Condensed-Black"/>
          <w:b/>
          <w:color w:val="002060"/>
          <w:sz w:val="20"/>
          <w:szCs w:val="40"/>
        </w:rPr>
        <w:t>Niveau de l’endettement</w:t>
      </w:r>
    </w:p>
    <w:p w:rsidR="007C2105" w:rsidRDefault="0023661C"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Le </w:t>
      </w:r>
      <w:r w:rsidR="007C2105">
        <w:rPr>
          <w:rFonts w:eastAsia="Garamond-Book" w:cs="Garamond-Book"/>
          <w:color w:val="002060"/>
          <w:sz w:val="20"/>
          <w:szCs w:val="20"/>
        </w:rPr>
        <w:t>1°</w:t>
      </w:r>
      <w:r w:rsidRPr="00861B09">
        <w:rPr>
          <w:rFonts w:eastAsia="Garamond-Book" w:cs="Garamond-Book"/>
          <w:color w:val="002060"/>
          <w:sz w:val="20"/>
          <w:szCs w:val="20"/>
        </w:rPr>
        <w:t xml:space="preserve"> ratio rapporte l’endettement total de l’entreprise au total du bilan. L’endettement total regroupe toutes les dettes de l’entreprise envers des tiers </w:t>
      </w:r>
      <w:r w:rsidRPr="007C2105">
        <w:rPr>
          <w:rFonts w:eastAsia="Garamond-Book" w:cs="Garamond-Book"/>
          <w:color w:val="002060"/>
          <w:sz w:val="20"/>
          <w:szCs w:val="20"/>
        </w:rPr>
        <w:t>y compris les effets escompt</w:t>
      </w:r>
      <w:r w:rsidR="00A433D3" w:rsidRPr="007C2105">
        <w:rPr>
          <w:rFonts w:eastAsia="Garamond-Book" w:cs="Garamond-Book"/>
          <w:color w:val="002060"/>
          <w:sz w:val="20"/>
          <w:szCs w:val="20"/>
        </w:rPr>
        <w:t>é</w:t>
      </w:r>
      <w:r w:rsidRPr="007C2105">
        <w:rPr>
          <w:rFonts w:eastAsia="Garamond-Book" w:cs="Garamond-Book"/>
          <w:color w:val="002060"/>
          <w:sz w:val="20"/>
          <w:szCs w:val="20"/>
        </w:rPr>
        <w:t xml:space="preserve">s non échus et les engagements de </w:t>
      </w:r>
      <w:r w:rsidR="007C2105" w:rsidRPr="007C2105">
        <w:rPr>
          <w:rFonts w:eastAsia="Garamond-Book" w:cs="Garamond-Book"/>
          <w:color w:val="002060"/>
          <w:sz w:val="20"/>
          <w:szCs w:val="20"/>
        </w:rPr>
        <w:t>crédit-bail</w:t>
      </w:r>
      <w:r w:rsidRPr="00861B09">
        <w:rPr>
          <w:rFonts w:eastAsia="Garamond-Book" w:cs="Garamond-Book"/>
          <w:color w:val="002060"/>
          <w:sz w:val="20"/>
          <w:szCs w:val="20"/>
        </w:rPr>
        <w:t xml:space="preserve">. </w:t>
      </w:r>
    </w:p>
    <w:p w:rsidR="007C2105" w:rsidRPr="00861B09" w:rsidRDefault="0023661C" w:rsidP="00F01473">
      <w:pPr>
        <w:autoSpaceDE w:val="0"/>
        <w:autoSpaceDN w:val="0"/>
        <w:adjustRightInd w:val="0"/>
        <w:spacing w:after="12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Ce ratio traduit le degré d’indépendance financière de l’entreprise </w:t>
      </w:r>
      <w:r w:rsidR="007C2105" w:rsidRPr="00861B09">
        <w:rPr>
          <w:rFonts w:eastAsia="Garamond-Book" w:cs="Garamond-Book"/>
          <w:color w:val="002060"/>
          <w:sz w:val="20"/>
          <w:szCs w:val="20"/>
        </w:rPr>
        <w:t>vis-à-vis</w:t>
      </w:r>
      <w:r w:rsidRPr="00861B09">
        <w:rPr>
          <w:rFonts w:eastAsia="Garamond-Book" w:cs="Garamond-Book"/>
          <w:color w:val="002060"/>
          <w:sz w:val="20"/>
          <w:szCs w:val="20"/>
        </w:rPr>
        <w:t xml:space="preserve"> des tiers. Il permet également d’apprécier la probabilité de remboursement des créanciers en cas de liquidation de l’entreprise.</w:t>
      </w:r>
    </w:p>
    <w:p w:rsidR="0023661C" w:rsidRPr="00861B09" w:rsidRDefault="00B5319F" w:rsidP="00F01473">
      <w:pPr>
        <w:autoSpaceDE w:val="0"/>
        <w:autoSpaceDN w:val="0"/>
        <w:adjustRightInd w:val="0"/>
        <w:ind w:left="170" w:firstLine="0"/>
        <w:jc w:val="both"/>
        <w:rPr>
          <w:rFonts w:cs="Helvetica-Condensed-Black"/>
          <w:color w:val="002060"/>
          <w:sz w:val="20"/>
          <w:szCs w:val="20"/>
        </w:rPr>
      </w:pPr>
      <w:r w:rsidRPr="00861B09">
        <w:rPr>
          <w:rFonts w:cs="Garamond-BoldCondensed"/>
          <w:b/>
          <w:bCs/>
          <w:color w:val="002060"/>
          <w:sz w:val="20"/>
          <w:szCs w:val="20"/>
        </w:rPr>
        <w:lastRenderedPageBreak/>
        <w:sym w:font="Wingdings" w:char="F0D8"/>
      </w:r>
      <w:r w:rsidRPr="00861B09">
        <w:rPr>
          <w:rFonts w:cs="Garamond-BoldCondensed"/>
          <w:b/>
          <w:bCs/>
          <w:color w:val="002060"/>
          <w:sz w:val="20"/>
          <w:szCs w:val="20"/>
        </w:rPr>
        <w:t xml:space="preserve"> </w:t>
      </w:r>
      <w:r w:rsidR="0023661C" w:rsidRPr="00861B09">
        <w:rPr>
          <w:rFonts w:cs="Garamond-BoldCondensed"/>
          <w:b/>
          <w:bCs/>
          <w:color w:val="002060"/>
          <w:sz w:val="20"/>
          <w:szCs w:val="20"/>
        </w:rPr>
        <w:t xml:space="preserve">Ratio d’indépendance financière </w:t>
      </w:r>
      <w:r w:rsidR="0023661C" w:rsidRPr="00861B09">
        <w:rPr>
          <w:rFonts w:cs="Helvetica-Condensed-Black"/>
          <w:color w:val="002060"/>
          <w:sz w:val="20"/>
          <w:szCs w:val="20"/>
        </w:rPr>
        <w:t xml:space="preserve">= </w:t>
      </w:r>
      <w:r w:rsidR="0023661C" w:rsidRPr="00861B09">
        <w:rPr>
          <w:rFonts w:cs="Garamond-BoldCondensed"/>
          <w:b/>
          <w:bCs/>
          <w:color w:val="002060"/>
          <w:sz w:val="20"/>
          <w:szCs w:val="20"/>
        </w:rPr>
        <w:t>Endettement total</w:t>
      </w:r>
      <w:r w:rsidR="0023661C" w:rsidRPr="00861B09">
        <w:rPr>
          <w:rFonts w:cs="Helvetica-Condensed-Black"/>
          <w:color w:val="002060"/>
          <w:sz w:val="20"/>
          <w:szCs w:val="20"/>
        </w:rPr>
        <w:t>/</w:t>
      </w:r>
      <w:r w:rsidR="0023661C" w:rsidRPr="00861B09">
        <w:rPr>
          <w:rFonts w:cs="Garamond-BoldCondensed"/>
          <w:b/>
          <w:bCs/>
          <w:color w:val="002060"/>
          <w:sz w:val="20"/>
          <w:szCs w:val="20"/>
        </w:rPr>
        <w:t>Total du bilan</w:t>
      </w:r>
    </w:p>
    <w:p w:rsidR="0023661C" w:rsidRPr="00861B09" w:rsidRDefault="0023661C" w:rsidP="00F01473">
      <w:pPr>
        <w:autoSpaceDE w:val="0"/>
        <w:autoSpaceDN w:val="0"/>
        <w:adjustRightInd w:val="0"/>
        <w:spacing w:afterLines="30" w:after="72"/>
        <w:ind w:left="397" w:firstLine="0"/>
        <w:jc w:val="both"/>
        <w:rPr>
          <w:rFonts w:eastAsia="Garamond-Book" w:cs="Garamond-Book"/>
          <w:color w:val="002060"/>
          <w:sz w:val="20"/>
          <w:szCs w:val="20"/>
        </w:rPr>
      </w:pPr>
      <w:r w:rsidRPr="00861B09">
        <w:rPr>
          <w:rFonts w:eastAsia="Garamond-Book" w:cs="Garamond-Book"/>
          <w:color w:val="002060"/>
          <w:sz w:val="20"/>
          <w:szCs w:val="20"/>
        </w:rPr>
        <w:t xml:space="preserve">Les </w:t>
      </w:r>
      <w:r w:rsidR="00B546CB" w:rsidRPr="00861B09">
        <w:rPr>
          <w:rFonts w:eastAsia="Garamond-Book" w:cs="Garamond-Book"/>
          <w:color w:val="002060"/>
          <w:sz w:val="20"/>
          <w:szCs w:val="20"/>
        </w:rPr>
        <w:t>données</w:t>
      </w:r>
      <w:r w:rsidRPr="00861B09">
        <w:rPr>
          <w:rFonts w:eastAsia="Garamond-Book" w:cs="Garamond-Book"/>
          <w:color w:val="002060"/>
          <w:sz w:val="20"/>
          <w:szCs w:val="20"/>
        </w:rPr>
        <w:t xml:space="preserve"> </w:t>
      </w:r>
      <w:r w:rsidR="00B546CB" w:rsidRPr="00861B09">
        <w:rPr>
          <w:rFonts w:eastAsia="Garamond-Book" w:cs="Garamond-Book"/>
          <w:color w:val="002060"/>
          <w:sz w:val="20"/>
          <w:szCs w:val="20"/>
        </w:rPr>
        <w:t>à</w:t>
      </w:r>
      <w:r w:rsidRPr="00861B09">
        <w:rPr>
          <w:rFonts w:eastAsia="Garamond-Book" w:cs="Garamond-Book"/>
          <w:color w:val="002060"/>
          <w:sz w:val="20"/>
          <w:szCs w:val="20"/>
        </w:rPr>
        <w:t xml:space="preserve"> prendre en compte sont les suivantes :</w:t>
      </w:r>
    </w:p>
    <w:p w:rsidR="0023661C" w:rsidRPr="00861B09" w:rsidRDefault="0023661C" w:rsidP="00F01473">
      <w:pPr>
        <w:pStyle w:val="Paragraphedeliste"/>
        <w:numPr>
          <w:ilvl w:val="0"/>
          <w:numId w:val="1"/>
        </w:numPr>
        <w:autoSpaceDE w:val="0"/>
        <w:autoSpaceDN w:val="0"/>
        <w:adjustRightInd w:val="0"/>
        <w:spacing w:afterLines="30" w:after="72"/>
        <w:ind w:left="567" w:hanging="170"/>
        <w:contextualSpacing w:val="0"/>
        <w:jc w:val="both"/>
        <w:rPr>
          <w:rFonts w:eastAsia="Garamond-Book" w:cs="Garamond-Book"/>
          <w:color w:val="002060"/>
          <w:sz w:val="20"/>
          <w:szCs w:val="20"/>
        </w:rPr>
      </w:pPr>
      <w:r w:rsidRPr="00861B09">
        <w:rPr>
          <w:rFonts w:eastAsia="Garamond-Book" w:cs="Garamond-Book"/>
          <w:color w:val="002060"/>
          <w:sz w:val="20"/>
          <w:szCs w:val="20"/>
        </w:rPr>
        <w:t xml:space="preserve">Endettement total </w:t>
      </w:r>
      <w:r w:rsidRPr="00861B09">
        <w:rPr>
          <w:rFonts w:ascii="MS Mincho" w:eastAsia="MS Mincho" w:hAnsi="MS Mincho" w:cs="MS Mincho" w:hint="eastAsia"/>
          <w:color w:val="002060"/>
          <w:sz w:val="20"/>
          <w:szCs w:val="20"/>
        </w:rPr>
        <w:t>▶</w:t>
      </w:r>
      <w:r w:rsidRPr="00861B09">
        <w:rPr>
          <w:rFonts w:eastAsia="CourierStd" w:cs="CourierStd"/>
          <w:color w:val="002060"/>
          <w:sz w:val="20"/>
          <w:szCs w:val="20"/>
        </w:rPr>
        <w:t xml:space="preserve"> </w:t>
      </w:r>
      <w:r w:rsidRPr="00861B09">
        <w:rPr>
          <w:rFonts w:eastAsia="Garamond-Book" w:cs="Garamond-Book"/>
          <w:color w:val="002060"/>
          <w:sz w:val="20"/>
          <w:szCs w:val="20"/>
        </w:rPr>
        <w:t>(EC - EB) +YS +YR +YQ</w:t>
      </w:r>
    </w:p>
    <w:p w:rsidR="00F01473" w:rsidRPr="00F01473" w:rsidRDefault="0023661C" w:rsidP="00F01473">
      <w:pPr>
        <w:pStyle w:val="Paragraphedeliste"/>
        <w:numPr>
          <w:ilvl w:val="0"/>
          <w:numId w:val="1"/>
        </w:numPr>
        <w:autoSpaceDE w:val="0"/>
        <w:autoSpaceDN w:val="0"/>
        <w:adjustRightInd w:val="0"/>
        <w:ind w:left="567" w:hanging="170"/>
        <w:contextualSpacing w:val="0"/>
        <w:jc w:val="both"/>
        <w:rPr>
          <w:rFonts w:eastAsia="Garamond-Book" w:cs="Garamond-Book"/>
          <w:color w:val="002060"/>
          <w:sz w:val="20"/>
          <w:szCs w:val="20"/>
        </w:rPr>
      </w:pPr>
      <w:r w:rsidRPr="00861B09">
        <w:rPr>
          <w:rFonts w:eastAsia="Garamond-Book" w:cs="Garamond-Book"/>
          <w:color w:val="002060"/>
          <w:sz w:val="20"/>
          <w:szCs w:val="20"/>
        </w:rPr>
        <w:t xml:space="preserve">Total du bilan </w:t>
      </w:r>
      <w:r w:rsidRPr="00861B09">
        <w:rPr>
          <w:rFonts w:ascii="MS Mincho" w:eastAsia="MS Mincho" w:hAnsi="MS Mincho" w:cs="MS Mincho" w:hint="eastAsia"/>
          <w:color w:val="002060"/>
          <w:sz w:val="20"/>
          <w:szCs w:val="20"/>
        </w:rPr>
        <w:t>▶</w:t>
      </w:r>
      <w:r w:rsidRPr="00861B09">
        <w:rPr>
          <w:rFonts w:eastAsia="CourierStd" w:cs="CourierStd"/>
          <w:color w:val="002060"/>
          <w:sz w:val="20"/>
          <w:szCs w:val="20"/>
        </w:rPr>
        <w:t xml:space="preserve"> </w:t>
      </w:r>
      <w:r w:rsidRPr="00861B09">
        <w:rPr>
          <w:rFonts w:eastAsia="Garamond-Book" w:cs="Garamond-Book"/>
          <w:color w:val="002060"/>
          <w:sz w:val="20"/>
          <w:szCs w:val="20"/>
        </w:rPr>
        <w:t>EE +YS +YR +YQ</w:t>
      </w:r>
    </w:p>
    <w:p w:rsidR="00F01473" w:rsidRPr="00F01473" w:rsidRDefault="00F01473" w:rsidP="00F01473">
      <w:pPr>
        <w:pStyle w:val="Paragraphedeliste"/>
        <w:numPr>
          <w:ilvl w:val="0"/>
          <w:numId w:val="2"/>
        </w:numPr>
        <w:autoSpaceDE w:val="0"/>
        <w:autoSpaceDN w:val="0"/>
        <w:adjustRightInd w:val="0"/>
        <w:ind w:left="340" w:hanging="170"/>
        <w:jc w:val="both"/>
        <w:rPr>
          <w:rFonts w:eastAsia="Garamond-Book" w:cs="Garamond-Book"/>
          <w:color w:val="002060"/>
          <w:sz w:val="20"/>
          <w:szCs w:val="20"/>
        </w:rPr>
      </w:pPr>
      <w:r w:rsidRPr="00F01473">
        <w:rPr>
          <w:rFonts w:eastAsia="Garamond-Book" w:cs="Garamond-Book"/>
          <w:color w:val="002060"/>
          <w:sz w:val="20"/>
          <w:szCs w:val="20"/>
        </w:rPr>
        <w:t xml:space="preserve">Une 1° variante de ce ratio consiste à rapporter l’endettement total au montant des capitaux propres. Il prend le nom de </w:t>
      </w:r>
      <w:r w:rsidRPr="00F01473">
        <w:rPr>
          <w:rFonts w:eastAsia="Garamond-Book" w:cs="Garamond-Book"/>
          <w:b/>
          <w:color w:val="002060"/>
          <w:sz w:val="20"/>
          <w:szCs w:val="20"/>
        </w:rPr>
        <w:t>ratio d’autonomie financière</w:t>
      </w:r>
      <w:r w:rsidRPr="00F01473">
        <w:rPr>
          <w:rFonts w:eastAsia="Garamond-Book" w:cs="Garamond-Book"/>
          <w:color w:val="002060"/>
          <w:sz w:val="20"/>
          <w:szCs w:val="20"/>
        </w:rPr>
        <w:t xml:space="preserve"> lorsqu’il se présente sous la forme : capitaux propres/endettement total.</w:t>
      </w:r>
    </w:p>
    <w:p w:rsidR="00F01473" w:rsidRDefault="0023661C" w:rsidP="00F01473">
      <w:pPr>
        <w:autoSpaceDE w:val="0"/>
        <w:autoSpaceDN w:val="0"/>
        <w:adjustRightInd w:val="0"/>
        <w:spacing w:after="120"/>
        <w:ind w:left="340" w:firstLine="0"/>
        <w:jc w:val="both"/>
        <w:rPr>
          <w:rFonts w:eastAsia="Garamond-Book" w:cs="Garamond-Book"/>
          <w:color w:val="002060"/>
          <w:sz w:val="20"/>
          <w:szCs w:val="20"/>
        </w:rPr>
      </w:pPr>
      <w:r w:rsidRPr="00861B09">
        <w:rPr>
          <w:rFonts w:eastAsia="Garamond-Book" w:cs="Garamond-Book"/>
          <w:color w:val="002060"/>
          <w:sz w:val="20"/>
          <w:szCs w:val="20"/>
        </w:rPr>
        <w:t>Les renseignements apport</w:t>
      </w:r>
      <w:r w:rsidR="0047651B" w:rsidRPr="00861B09">
        <w:rPr>
          <w:rFonts w:eastAsia="Garamond-Book" w:cs="Garamond-Book"/>
          <w:color w:val="002060"/>
          <w:sz w:val="20"/>
          <w:szCs w:val="20"/>
        </w:rPr>
        <w:t>é</w:t>
      </w:r>
      <w:r w:rsidRPr="00861B09">
        <w:rPr>
          <w:rFonts w:eastAsia="Garamond-Book" w:cs="Garamond-Book"/>
          <w:color w:val="002060"/>
          <w:sz w:val="20"/>
          <w:szCs w:val="20"/>
        </w:rPr>
        <w:t xml:space="preserve">s par ces ratios sont strictement identiques. Ils expriment une </w:t>
      </w:r>
      <w:r w:rsidR="00B546CB" w:rsidRPr="00861B09">
        <w:rPr>
          <w:rFonts w:eastAsia="Garamond-Book" w:cs="Garamond-Book"/>
          <w:color w:val="002060"/>
          <w:sz w:val="20"/>
          <w:szCs w:val="20"/>
        </w:rPr>
        <w:t>règle</w:t>
      </w:r>
      <w:r w:rsidRPr="00861B09">
        <w:rPr>
          <w:rFonts w:eastAsia="Garamond-Book" w:cs="Garamond-Book"/>
          <w:color w:val="002060"/>
          <w:sz w:val="20"/>
          <w:szCs w:val="20"/>
        </w:rPr>
        <w:t xml:space="preserve"> de prudence pour les banques qui, en cas de faillite de l’entreprise, seront </w:t>
      </w:r>
      <w:r w:rsidR="00B546CB" w:rsidRPr="00861B09">
        <w:rPr>
          <w:rFonts w:eastAsia="Garamond-Book" w:cs="Garamond-Book"/>
          <w:color w:val="002060"/>
          <w:sz w:val="20"/>
          <w:szCs w:val="20"/>
        </w:rPr>
        <w:t>remboursées</w:t>
      </w:r>
      <w:r w:rsidRPr="00861B09">
        <w:rPr>
          <w:rFonts w:eastAsia="Garamond-Book" w:cs="Garamond-Book"/>
          <w:color w:val="002060"/>
          <w:sz w:val="20"/>
          <w:szCs w:val="20"/>
        </w:rPr>
        <w:t xml:space="preserve"> sur ces ressources propres.</w:t>
      </w:r>
    </w:p>
    <w:p w:rsidR="00C7419C" w:rsidRPr="00F01473" w:rsidRDefault="0023661C" w:rsidP="00F01473">
      <w:pPr>
        <w:pStyle w:val="Paragraphedeliste"/>
        <w:numPr>
          <w:ilvl w:val="0"/>
          <w:numId w:val="2"/>
        </w:numPr>
        <w:autoSpaceDE w:val="0"/>
        <w:autoSpaceDN w:val="0"/>
        <w:adjustRightInd w:val="0"/>
        <w:ind w:left="340" w:hanging="170"/>
        <w:jc w:val="both"/>
        <w:rPr>
          <w:rFonts w:cs="Helvetica-Condensed-Black"/>
          <w:b/>
          <w:color w:val="002060"/>
          <w:szCs w:val="40"/>
        </w:rPr>
      </w:pPr>
      <w:r w:rsidRPr="00F01473">
        <w:rPr>
          <w:rFonts w:eastAsia="Garamond-Book" w:cs="Garamond-Book"/>
          <w:color w:val="002060"/>
          <w:sz w:val="20"/>
          <w:szCs w:val="20"/>
        </w:rPr>
        <w:t xml:space="preserve">Une </w:t>
      </w:r>
      <w:r w:rsidR="00BF5B23" w:rsidRPr="00F01473">
        <w:rPr>
          <w:rFonts w:eastAsia="Garamond-Book" w:cs="Garamond-Book"/>
          <w:color w:val="002060"/>
          <w:sz w:val="20"/>
          <w:szCs w:val="20"/>
        </w:rPr>
        <w:t>2°</w:t>
      </w:r>
      <w:r w:rsidRPr="00F01473">
        <w:rPr>
          <w:rFonts w:eastAsia="Garamond-Book" w:cs="Garamond-Book"/>
          <w:color w:val="002060"/>
          <w:sz w:val="20"/>
          <w:szCs w:val="20"/>
        </w:rPr>
        <w:t xml:space="preserve"> variante de ce ratio rapporte les fonds propres aux dettes </w:t>
      </w:r>
      <w:r w:rsidR="00B546CB" w:rsidRPr="00F01473">
        <w:rPr>
          <w:rFonts w:eastAsia="Garamond-Book" w:cs="Garamond-Book"/>
          <w:color w:val="002060"/>
          <w:sz w:val="20"/>
          <w:szCs w:val="20"/>
        </w:rPr>
        <w:t>financières</w:t>
      </w:r>
      <w:r w:rsidRPr="00F01473">
        <w:rPr>
          <w:rFonts w:eastAsia="Garamond-Book" w:cs="Garamond-Book"/>
          <w:color w:val="002060"/>
          <w:sz w:val="20"/>
          <w:szCs w:val="20"/>
        </w:rPr>
        <w:t xml:space="preserve"> </w:t>
      </w:r>
      <w:r w:rsidR="0047651B" w:rsidRPr="00F01473">
        <w:rPr>
          <w:rFonts w:eastAsia="Garamond-Book" w:cs="Garamond-Book"/>
          <w:color w:val="002060"/>
          <w:sz w:val="20"/>
          <w:szCs w:val="20"/>
        </w:rPr>
        <w:t>à</w:t>
      </w:r>
      <w:r w:rsidRPr="00F01473">
        <w:rPr>
          <w:rFonts w:eastAsia="Garamond-Book" w:cs="Garamond-Book"/>
          <w:color w:val="002060"/>
          <w:sz w:val="20"/>
          <w:szCs w:val="20"/>
        </w:rPr>
        <w:t xml:space="preserve"> terme. </w:t>
      </w:r>
    </w:p>
    <w:p w:rsidR="0023661C" w:rsidRPr="00861B09" w:rsidRDefault="00C7419C" w:rsidP="00F01473">
      <w:pPr>
        <w:autoSpaceDE w:val="0"/>
        <w:autoSpaceDN w:val="0"/>
        <w:adjustRightInd w:val="0"/>
        <w:ind w:left="454" w:hanging="170"/>
        <w:jc w:val="both"/>
        <w:rPr>
          <w:rFonts w:eastAsia="Garamond-Book" w:cs="Garamond-Book"/>
          <w:color w:val="002060"/>
          <w:sz w:val="20"/>
          <w:szCs w:val="20"/>
        </w:rPr>
      </w:pPr>
      <w:r w:rsidRPr="005A27E3">
        <w:rPr>
          <w:noProof/>
          <w:lang w:eastAsia="fr-FR"/>
        </w:rPr>
        <w:drawing>
          <wp:inline distT="0" distB="0" distL="0" distR="0" wp14:anchorId="3E5CE8D1" wp14:editId="0D5C7771">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eastAsia="Garamond-Book" w:cs="Garamond-Book"/>
          <w:color w:val="002060"/>
          <w:sz w:val="20"/>
          <w:szCs w:val="20"/>
        </w:rPr>
        <w:t>L</w:t>
      </w:r>
      <w:r w:rsidR="0023661C" w:rsidRPr="00861B09">
        <w:rPr>
          <w:rFonts w:eastAsia="Garamond-Book" w:cs="Garamond-Book"/>
          <w:color w:val="002060"/>
          <w:sz w:val="20"/>
          <w:szCs w:val="20"/>
        </w:rPr>
        <w:t xml:space="preserve">es fonds propres </w:t>
      </w:r>
      <w:r w:rsidR="00B546CB" w:rsidRPr="00861B09">
        <w:rPr>
          <w:rFonts w:eastAsia="Garamond-Book" w:cs="Garamond-Book"/>
          <w:color w:val="002060"/>
          <w:sz w:val="20"/>
          <w:szCs w:val="20"/>
        </w:rPr>
        <w:t>intègrent</w:t>
      </w:r>
      <w:r w:rsidR="0023661C" w:rsidRPr="00861B09">
        <w:rPr>
          <w:rFonts w:eastAsia="Garamond-Book" w:cs="Garamond-Book"/>
          <w:color w:val="002060"/>
          <w:sz w:val="20"/>
          <w:szCs w:val="20"/>
        </w:rPr>
        <w:t xml:space="preserve"> les capitaux propres, </w:t>
      </w:r>
      <w:r w:rsidR="00FB182B" w:rsidRPr="00861B09">
        <w:rPr>
          <w:rFonts w:eastAsia="Garamond-Book" w:cs="Garamond-Book"/>
          <w:color w:val="002060"/>
          <w:sz w:val="20"/>
          <w:szCs w:val="20"/>
        </w:rPr>
        <w:t xml:space="preserve">les autres fonds propres et </w:t>
      </w:r>
      <w:r w:rsidR="0023661C" w:rsidRPr="00861B09">
        <w:rPr>
          <w:rFonts w:eastAsia="Garamond-Book" w:cs="Garamond-Book"/>
          <w:color w:val="002060"/>
          <w:sz w:val="20"/>
          <w:szCs w:val="20"/>
        </w:rPr>
        <w:t>les provisions pour risques et charges.</w:t>
      </w:r>
      <w:r>
        <w:rPr>
          <w:rFonts w:eastAsia="Garamond-Book" w:cs="Garamond-Book"/>
          <w:color w:val="002060"/>
          <w:sz w:val="20"/>
          <w:szCs w:val="20"/>
        </w:rPr>
        <w:t xml:space="preserve"> Leur calcul</w:t>
      </w:r>
      <w:r w:rsidRPr="00C7419C">
        <w:rPr>
          <w:rFonts w:eastAsia="Garamond-Book" w:cs="Garamond-Book"/>
          <w:color w:val="002060"/>
          <w:sz w:val="20"/>
          <w:szCs w:val="20"/>
        </w:rPr>
        <w:t xml:space="preserve"> </w:t>
      </w:r>
      <w:r w:rsidRPr="00861B09">
        <w:rPr>
          <w:rFonts w:eastAsia="Garamond-Book" w:cs="Garamond-Book"/>
          <w:color w:val="002060"/>
          <w:sz w:val="20"/>
          <w:szCs w:val="20"/>
        </w:rPr>
        <w:t>s’effectue à partir de la page 2 de la liasse en additionnant les lignes DL, DO et DR</w:t>
      </w:r>
    </w:p>
    <w:p w:rsidR="0023661C" w:rsidRPr="00861B09" w:rsidRDefault="00C7419C" w:rsidP="00F01473">
      <w:pPr>
        <w:autoSpaceDE w:val="0"/>
        <w:autoSpaceDN w:val="0"/>
        <w:adjustRightInd w:val="0"/>
        <w:ind w:left="454" w:hanging="170"/>
        <w:jc w:val="both"/>
        <w:rPr>
          <w:rFonts w:eastAsia="Garamond-Book" w:cs="Garamond-Book"/>
          <w:color w:val="002060"/>
          <w:sz w:val="20"/>
          <w:szCs w:val="20"/>
        </w:rPr>
      </w:pPr>
      <w:r w:rsidRPr="005A27E3">
        <w:rPr>
          <w:noProof/>
          <w:lang w:eastAsia="fr-FR"/>
        </w:rPr>
        <w:drawing>
          <wp:inline distT="0" distB="0" distL="0" distR="0" wp14:anchorId="3E5CE8D1" wp14:editId="0D5C7771">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3661C" w:rsidRPr="00861B09">
        <w:rPr>
          <w:rFonts w:eastAsia="Garamond-Book" w:cs="Garamond-Book"/>
          <w:color w:val="002060"/>
          <w:sz w:val="20"/>
          <w:szCs w:val="20"/>
        </w:rPr>
        <w:t xml:space="preserve">Les dettes </w:t>
      </w:r>
      <w:r w:rsidR="00B546CB" w:rsidRPr="00861B09">
        <w:rPr>
          <w:rFonts w:eastAsia="Garamond-Book" w:cs="Garamond-Book"/>
          <w:color w:val="002060"/>
          <w:sz w:val="20"/>
          <w:szCs w:val="20"/>
        </w:rPr>
        <w:t>financières</w:t>
      </w:r>
      <w:r w:rsidR="0023661C" w:rsidRPr="00861B09">
        <w:rPr>
          <w:rFonts w:eastAsia="Garamond-Book" w:cs="Garamond-Book"/>
          <w:color w:val="002060"/>
          <w:sz w:val="20"/>
          <w:szCs w:val="20"/>
        </w:rPr>
        <w:t xml:space="preserve"> </w:t>
      </w:r>
      <w:r w:rsidR="0047651B" w:rsidRPr="00861B09">
        <w:rPr>
          <w:rFonts w:eastAsia="Garamond-Book" w:cs="Garamond-Book"/>
          <w:color w:val="002060"/>
          <w:sz w:val="20"/>
          <w:szCs w:val="20"/>
        </w:rPr>
        <w:t>à</w:t>
      </w:r>
      <w:r w:rsidR="0023661C" w:rsidRPr="00861B09">
        <w:rPr>
          <w:rFonts w:eastAsia="Garamond-Book" w:cs="Garamond-Book"/>
          <w:color w:val="002060"/>
          <w:sz w:val="20"/>
          <w:szCs w:val="20"/>
        </w:rPr>
        <w:t xml:space="preserve"> terme reprennent le montant de l’en-cours d’endettement </w:t>
      </w:r>
      <w:r w:rsidR="002E3FD6" w:rsidRPr="00861B09">
        <w:rPr>
          <w:rFonts w:eastAsia="Garamond-Book" w:cs="Garamond-Book"/>
          <w:color w:val="002060"/>
          <w:sz w:val="20"/>
          <w:szCs w:val="20"/>
        </w:rPr>
        <w:t>à</w:t>
      </w:r>
      <w:r w:rsidR="0023661C" w:rsidRPr="00861B09">
        <w:rPr>
          <w:rFonts w:eastAsia="Garamond-Book" w:cs="Garamond-Book"/>
          <w:color w:val="002060"/>
          <w:sz w:val="20"/>
          <w:szCs w:val="20"/>
        </w:rPr>
        <w:t xml:space="preserve"> plus d’un an y compris les engagements de </w:t>
      </w:r>
      <w:r w:rsidR="00B546CB" w:rsidRPr="00861B09">
        <w:rPr>
          <w:rFonts w:eastAsia="Garamond-Book" w:cs="Garamond-Book"/>
          <w:color w:val="002060"/>
          <w:sz w:val="20"/>
          <w:szCs w:val="20"/>
        </w:rPr>
        <w:t>crédit-bail</w:t>
      </w:r>
      <w:r w:rsidR="0023661C" w:rsidRPr="00861B09">
        <w:rPr>
          <w:rFonts w:eastAsia="Garamond-Book" w:cs="Garamond-Book"/>
          <w:color w:val="002060"/>
          <w:sz w:val="20"/>
          <w:szCs w:val="20"/>
        </w:rPr>
        <w:t>.</w:t>
      </w:r>
      <w:r>
        <w:rPr>
          <w:rFonts w:eastAsia="Garamond-Book" w:cs="Garamond-Book"/>
          <w:color w:val="002060"/>
          <w:sz w:val="20"/>
          <w:szCs w:val="20"/>
        </w:rPr>
        <w:t xml:space="preserve"> </w:t>
      </w:r>
      <w:r w:rsidR="0023661C" w:rsidRPr="00861B09">
        <w:rPr>
          <w:rFonts w:eastAsia="Garamond-Book" w:cs="Garamond-Book"/>
          <w:color w:val="002060"/>
          <w:sz w:val="20"/>
          <w:szCs w:val="20"/>
        </w:rPr>
        <w:t>L</w:t>
      </w:r>
      <w:r>
        <w:rPr>
          <w:rFonts w:eastAsia="Garamond-Book" w:cs="Garamond-Book"/>
          <w:color w:val="002060"/>
          <w:sz w:val="20"/>
          <w:szCs w:val="20"/>
        </w:rPr>
        <w:t>eur</w:t>
      </w:r>
      <w:r w:rsidR="0023661C" w:rsidRPr="00861B09">
        <w:rPr>
          <w:rFonts w:eastAsia="Garamond-Book" w:cs="Garamond-Book"/>
          <w:color w:val="002060"/>
          <w:sz w:val="20"/>
          <w:szCs w:val="20"/>
        </w:rPr>
        <w:t xml:space="preserve"> calcul </w:t>
      </w:r>
      <w:r>
        <w:rPr>
          <w:rFonts w:eastAsia="Garamond-Book" w:cs="Garamond-Book"/>
          <w:color w:val="002060"/>
          <w:sz w:val="20"/>
          <w:szCs w:val="20"/>
        </w:rPr>
        <w:t>se fait en additionnant</w:t>
      </w:r>
      <w:r w:rsidR="0023661C" w:rsidRPr="00861B09">
        <w:rPr>
          <w:rFonts w:eastAsia="Garamond-Book" w:cs="Garamond-Book"/>
          <w:color w:val="002060"/>
          <w:sz w:val="20"/>
          <w:szCs w:val="20"/>
        </w:rPr>
        <w:t xml:space="preserve"> </w:t>
      </w:r>
      <w:r>
        <w:rPr>
          <w:rFonts w:eastAsia="Garamond-Book" w:cs="Garamond-Book"/>
          <w:color w:val="002060"/>
          <w:sz w:val="20"/>
          <w:szCs w:val="20"/>
        </w:rPr>
        <w:t xml:space="preserve">les </w:t>
      </w:r>
      <w:r w:rsidR="0023661C" w:rsidRPr="00861B09">
        <w:rPr>
          <w:rFonts w:eastAsia="Garamond-Book" w:cs="Garamond-Book"/>
          <w:color w:val="002060"/>
          <w:sz w:val="20"/>
          <w:szCs w:val="20"/>
        </w:rPr>
        <w:t>ligne</w:t>
      </w:r>
      <w:r>
        <w:rPr>
          <w:rFonts w:eastAsia="Garamond-Book" w:cs="Garamond-Book"/>
          <w:color w:val="002060"/>
          <w:sz w:val="20"/>
          <w:szCs w:val="20"/>
        </w:rPr>
        <w:t>s</w:t>
      </w:r>
      <w:r w:rsidR="0023661C" w:rsidRPr="00861B09">
        <w:rPr>
          <w:rFonts w:eastAsia="Garamond-Book" w:cs="Garamond-Book"/>
          <w:color w:val="002060"/>
          <w:sz w:val="20"/>
          <w:szCs w:val="20"/>
        </w:rPr>
        <w:t xml:space="preserve"> DS + DT + DU + DV</w:t>
      </w:r>
      <w:r>
        <w:rPr>
          <w:rFonts w:eastAsia="Garamond-Book" w:cs="Garamond-Book"/>
          <w:color w:val="002060"/>
          <w:sz w:val="20"/>
          <w:szCs w:val="20"/>
        </w:rPr>
        <w:t xml:space="preserve"> de la page 2 de la liasse</w:t>
      </w:r>
      <w:r w:rsidR="0023661C" w:rsidRPr="00861B09">
        <w:rPr>
          <w:rFonts w:eastAsia="Garamond-Book" w:cs="Garamond-Book"/>
          <w:color w:val="002060"/>
          <w:sz w:val="20"/>
          <w:szCs w:val="20"/>
        </w:rPr>
        <w:t xml:space="preserve">, desquelles on retranche la fraction </w:t>
      </w:r>
      <w:r w:rsidR="002E3FD6" w:rsidRPr="00861B09">
        <w:rPr>
          <w:rFonts w:eastAsia="Garamond-Book" w:cs="Garamond-Book"/>
          <w:color w:val="002060"/>
          <w:sz w:val="20"/>
          <w:szCs w:val="20"/>
        </w:rPr>
        <w:t>à</w:t>
      </w:r>
      <w:r w:rsidR="0023661C" w:rsidRPr="00861B09">
        <w:rPr>
          <w:rFonts w:eastAsia="Garamond-Book" w:cs="Garamond-Book"/>
          <w:color w:val="002060"/>
          <w:sz w:val="20"/>
          <w:szCs w:val="20"/>
        </w:rPr>
        <w:t xml:space="preserve"> moins d’un an EH. </w:t>
      </w:r>
      <w:r>
        <w:rPr>
          <w:rFonts w:eastAsia="Garamond-Book" w:cs="Garamond-Book"/>
          <w:color w:val="002060"/>
          <w:sz w:val="20"/>
          <w:szCs w:val="20"/>
        </w:rPr>
        <w:t>Sans oublier d’intégrer l</w:t>
      </w:r>
      <w:r w:rsidR="0023661C" w:rsidRPr="00861B09">
        <w:rPr>
          <w:rFonts w:eastAsia="Garamond-Book" w:cs="Garamond-Book"/>
          <w:color w:val="002060"/>
          <w:sz w:val="20"/>
          <w:szCs w:val="20"/>
        </w:rPr>
        <w:t xml:space="preserve">es engagements de </w:t>
      </w:r>
      <w:r w:rsidR="00B546CB" w:rsidRPr="00861B09">
        <w:rPr>
          <w:rFonts w:eastAsia="Garamond-Book" w:cs="Garamond-Book"/>
          <w:color w:val="002060"/>
          <w:sz w:val="20"/>
          <w:szCs w:val="20"/>
        </w:rPr>
        <w:t>crédit-bail</w:t>
      </w:r>
      <w:r w:rsidR="0023661C" w:rsidRPr="00861B09">
        <w:rPr>
          <w:rFonts w:eastAsia="Garamond-Book" w:cs="Garamond-Book"/>
          <w:color w:val="002060"/>
          <w:sz w:val="20"/>
          <w:szCs w:val="20"/>
        </w:rPr>
        <w:t xml:space="preserve"> </w:t>
      </w:r>
      <w:r>
        <w:rPr>
          <w:rFonts w:eastAsia="Garamond-Book" w:cs="Garamond-Book"/>
          <w:color w:val="002060"/>
          <w:sz w:val="20"/>
          <w:szCs w:val="20"/>
        </w:rPr>
        <w:t>qui figurent à la page 11, lignes</w:t>
      </w:r>
      <w:r w:rsidR="0023661C" w:rsidRPr="00861B09">
        <w:rPr>
          <w:rFonts w:eastAsia="Garamond-Book" w:cs="Garamond-Book"/>
          <w:color w:val="002060"/>
          <w:sz w:val="20"/>
          <w:szCs w:val="20"/>
        </w:rPr>
        <w:t xml:space="preserve"> YQ +YR.</w:t>
      </w:r>
    </w:p>
    <w:p w:rsidR="001027BF" w:rsidRDefault="0023661C" w:rsidP="001027BF">
      <w:pPr>
        <w:autoSpaceDE w:val="0"/>
        <w:autoSpaceDN w:val="0"/>
        <w:adjustRightInd w:val="0"/>
        <w:ind w:left="284" w:firstLine="0"/>
        <w:jc w:val="both"/>
        <w:rPr>
          <w:rFonts w:eastAsia="Garamond-Book" w:cs="Garamond-Book"/>
          <w:color w:val="002060"/>
          <w:sz w:val="20"/>
          <w:szCs w:val="20"/>
        </w:rPr>
      </w:pPr>
      <w:r w:rsidRPr="00861B09">
        <w:rPr>
          <w:rFonts w:eastAsia="Garamond-Book" w:cs="Garamond-Book"/>
          <w:color w:val="002060"/>
          <w:sz w:val="20"/>
          <w:szCs w:val="20"/>
        </w:rPr>
        <w:t xml:space="preserve">Ce dernier ratio est </w:t>
      </w:r>
      <w:r w:rsidR="00B546CB" w:rsidRPr="00861B09">
        <w:rPr>
          <w:rFonts w:eastAsia="Garamond-Book" w:cs="Garamond-Book"/>
          <w:color w:val="002060"/>
          <w:sz w:val="20"/>
          <w:szCs w:val="20"/>
        </w:rPr>
        <w:t>généralement</w:t>
      </w:r>
      <w:r w:rsidRPr="00861B09">
        <w:rPr>
          <w:rFonts w:eastAsia="Garamond-Book" w:cs="Garamond-Book"/>
          <w:color w:val="002060"/>
          <w:sz w:val="20"/>
          <w:szCs w:val="20"/>
        </w:rPr>
        <w:t xml:space="preserve"> norm</w:t>
      </w:r>
      <w:r w:rsidR="0047651B" w:rsidRPr="00861B09">
        <w:rPr>
          <w:rFonts w:eastAsia="Garamond-Book" w:cs="Garamond-Book"/>
          <w:color w:val="002060"/>
          <w:sz w:val="20"/>
          <w:szCs w:val="20"/>
        </w:rPr>
        <w:t>é</w:t>
      </w:r>
      <w:r w:rsidRPr="00861B09">
        <w:rPr>
          <w:rFonts w:eastAsia="Garamond-Book" w:cs="Garamond-Book"/>
          <w:color w:val="002060"/>
          <w:sz w:val="20"/>
          <w:szCs w:val="20"/>
        </w:rPr>
        <w:t xml:space="preserve"> </w:t>
      </w:r>
      <w:r w:rsidR="0047651B" w:rsidRPr="00861B09">
        <w:rPr>
          <w:rFonts w:eastAsia="Garamond-Book" w:cs="Garamond-Book"/>
          <w:color w:val="002060"/>
          <w:sz w:val="20"/>
          <w:szCs w:val="20"/>
        </w:rPr>
        <w:t>à</w:t>
      </w:r>
      <w:r w:rsidRPr="00861B09">
        <w:rPr>
          <w:rFonts w:eastAsia="Garamond-Book" w:cs="Garamond-Book"/>
          <w:color w:val="002060"/>
          <w:sz w:val="20"/>
          <w:szCs w:val="20"/>
        </w:rPr>
        <w:t xml:space="preserve"> </w:t>
      </w:r>
      <w:r w:rsidRPr="00861B09">
        <w:rPr>
          <w:rFonts w:eastAsia="Garamond-Book" w:cs="Garamond-Book"/>
          <w:b/>
          <w:color w:val="002060"/>
          <w:sz w:val="20"/>
          <w:szCs w:val="20"/>
        </w:rPr>
        <w:t>100 %</w:t>
      </w:r>
      <w:r w:rsidRPr="00861B09">
        <w:rPr>
          <w:rFonts w:eastAsia="Garamond-Book" w:cs="Garamond-Book"/>
          <w:color w:val="002060"/>
          <w:sz w:val="20"/>
          <w:szCs w:val="20"/>
        </w:rPr>
        <w:t xml:space="preserve">. </w:t>
      </w:r>
      <w:r w:rsidRPr="00861B09">
        <w:rPr>
          <w:rFonts w:cs="Garamond-BookItalic"/>
          <w:i/>
          <w:iCs/>
          <w:color w:val="002060"/>
          <w:sz w:val="20"/>
          <w:szCs w:val="20"/>
        </w:rPr>
        <w:t>A priori</w:t>
      </w:r>
      <w:r w:rsidRPr="00861B09">
        <w:rPr>
          <w:rFonts w:eastAsia="Garamond-Book" w:cs="Garamond-Book"/>
          <w:color w:val="002060"/>
          <w:sz w:val="20"/>
          <w:szCs w:val="20"/>
        </w:rPr>
        <w:t xml:space="preserve">, il est stable d’un exercice </w:t>
      </w:r>
      <w:r w:rsidR="00B546CB" w:rsidRPr="00861B09">
        <w:rPr>
          <w:rFonts w:eastAsia="Garamond-Book" w:cs="Garamond-Book"/>
          <w:color w:val="002060"/>
          <w:sz w:val="20"/>
          <w:szCs w:val="20"/>
        </w:rPr>
        <w:t>à</w:t>
      </w:r>
      <w:r w:rsidRPr="00861B09">
        <w:rPr>
          <w:rFonts w:eastAsia="Garamond-Book" w:cs="Garamond-Book"/>
          <w:color w:val="002060"/>
          <w:sz w:val="20"/>
          <w:szCs w:val="20"/>
        </w:rPr>
        <w:t xml:space="preserve"> l’autre. Une variation brutale peut traduire plusieurs </w:t>
      </w:r>
      <w:r w:rsidR="00B546CB" w:rsidRPr="00861B09">
        <w:rPr>
          <w:rFonts w:eastAsia="Garamond-Book" w:cs="Garamond-Book"/>
          <w:color w:val="002060"/>
          <w:sz w:val="20"/>
          <w:szCs w:val="20"/>
        </w:rPr>
        <w:t>phénomènes</w:t>
      </w:r>
      <w:r w:rsidRPr="00861B09">
        <w:rPr>
          <w:rFonts w:eastAsia="Garamond-Book" w:cs="Garamond-Book"/>
          <w:color w:val="002060"/>
          <w:sz w:val="20"/>
          <w:szCs w:val="20"/>
        </w:rPr>
        <w:t xml:space="preserve"> : </w:t>
      </w:r>
    </w:p>
    <w:p w:rsidR="001027BF" w:rsidRPr="001027BF" w:rsidRDefault="001027BF" w:rsidP="001027BF">
      <w:pPr>
        <w:pStyle w:val="Paragraphedeliste"/>
        <w:numPr>
          <w:ilvl w:val="1"/>
          <w:numId w:val="2"/>
        </w:numPr>
        <w:autoSpaceDE w:val="0"/>
        <w:autoSpaceDN w:val="0"/>
        <w:adjustRightInd w:val="0"/>
        <w:ind w:left="510" w:hanging="170"/>
        <w:contextualSpacing w:val="0"/>
        <w:jc w:val="both"/>
        <w:rPr>
          <w:rFonts w:cs="Helvetica-Condensed-Black"/>
          <w:b/>
          <w:color w:val="002060"/>
          <w:szCs w:val="40"/>
        </w:rPr>
      </w:pPr>
      <w:r w:rsidRPr="001027BF">
        <w:rPr>
          <w:rFonts w:eastAsia="Garamond-Book" w:cs="Garamond-Book"/>
          <w:color w:val="002060"/>
          <w:sz w:val="20"/>
          <w:szCs w:val="20"/>
        </w:rPr>
        <w:t>La</w:t>
      </w:r>
      <w:r w:rsidR="0023661C" w:rsidRPr="001027BF">
        <w:rPr>
          <w:rFonts w:eastAsia="Garamond-Book" w:cs="Garamond-Book"/>
          <w:color w:val="002060"/>
          <w:sz w:val="20"/>
          <w:szCs w:val="20"/>
        </w:rPr>
        <w:t xml:space="preserve"> consolidation en </w:t>
      </w:r>
      <w:r w:rsidR="00B546CB" w:rsidRPr="001027BF">
        <w:rPr>
          <w:rFonts w:eastAsia="Garamond-Book" w:cs="Garamond-Book"/>
          <w:color w:val="002060"/>
          <w:sz w:val="20"/>
          <w:szCs w:val="20"/>
        </w:rPr>
        <w:t>prêts</w:t>
      </w:r>
      <w:r w:rsidR="0023661C" w:rsidRPr="001027BF">
        <w:rPr>
          <w:rFonts w:eastAsia="Garamond-Book" w:cs="Garamond-Book"/>
          <w:color w:val="002060"/>
          <w:sz w:val="20"/>
          <w:szCs w:val="20"/>
        </w:rPr>
        <w:t xml:space="preserve"> longs d’engagements jusqu’</w:t>
      </w:r>
      <w:r w:rsidR="00B546CB" w:rsidRPr="001027BF">
        <w:rPr>
          <w:rFonts w:eastAsia="Garamond-Book" w:cs="Garamond-Book"/>
          <w:color w:val="002060"/>
          <w:sz w:val="20"/>
          <w:szCs w:val="20"/>
        </w:rPr>
        <w:t>à</w:t>
      </w:r>
      <w:r w:rsidR="0023661C" w:rsidRPr="001027BF">
        <w:rPr>
          <w:rFonts w:eastAsia="Garamond-Book" w:cs="Garamond-Book"/>
          <w:color w:val="002060"/>
          <w:sz w:val="20"/>
          <w:szCs w:val="20"/>
        </w:rPr>
        <w:t xml:space="preserve"> </w:t>
      </w:r>
      <w:r w:rsidR="00B546CB" w:rsidRPr="001027BF">
        <w:rPr>
          <w:rFonts w:eastAsia="Garamond-Book" w:cs="Garamond-Book"/>
          <w:color w:val="002060"/>
          <w:sz w:val="20"/>
          <w:szCs w:val="20"/>
        </w:rPr>
        <w:t>présent</w:t>
      </w:r>
      <w:r w:rsidR="0023661C" w:rsidRPr="001027BF">
        <w:rPr>
          <w:rFonts w:eastAsia="Garamond-Book" w:cs="Garamond-Book"/>
          <w:color w:val="002060"/>
          <w:sz w:val="20"/>
          <w:szCs w:val="20"/>
        </w:rPr>
        <w:t xml:space="preserve"> </w:t>
      </w:r>
      <w:r w:rsidR="002E3FD6" w:rsidRPr="001027BF">
        <w:rPr>
          <w:rFonts w:eastAsia="Garamond-Book" w:cs="Garamond-Book"/>
          <w:color w:val="002060"/>
          <w:sz w:val="20"/>
          <w:szCs w:val="20"/>
        </w:rPr>
        <w:t>à</w:t>
      </w:r>
      <w:r w:rsidR="0023661C" w:rsidRPr="001027BF">
        <w:rPr>
          <w:rFonts w:eastAsia="Garamond-Book" w:cs="Garamond-Book"/>
          <w:color w:val="002060"/>
          <w:sz w:val="20"/>
          <w:szCs w:val="20"/>
        </w:rPr>
        <w:t xml:space="preserve"> court terme, </w:t>
      </w:r>
    </w:p>
    <w:p w:rsidR="001027BF" w:rsidRPr="001027BF" w:rsidRDefault="001027BF" w:rsidP="001027BF">
      <w:pPr>
        <w:pStyle w:val="Paragraphedeliste"/>
        <w:numPr>
          <w:ilvl w:val="1"/>
          <w:numId w:val="2"/>
        </w:numPr>
        <w:autoSpaceDE w:val="0"/>
        <w:autoSpaceDN w:val="0"/>
        <w:adjustRightInd w:val="0"/>
        <w:ind w:left="510" w:hanging="170"/>
        <w:contextualSpacing w:val="0"/>
        <w:jc w:val="both"/>
        <w:rPr>
          <w:rFonts w:cs="Helvetica-Condensed-Black"/>
          <w:b/>
          <w:color w:val="002060"/>
          <w:szCs w:val="40"/>
        </w:rPr>
      </w:pPr>
      <w:r w:rsidRPr="001027BF">
        <w:rPr>
          <w:rFonts w:eastAsia="Garamond-Book" w:cs="Garamond-Book"/>
          <w:color w:val="002060"/>
          <w:sz w:val="20"/>
          <w:szCs w:val="20"/>
        </w:rPr>
        <w:t>Une</w:t>
      </w:r>
      <w:r w:rsidR="0023661C" w:rsidRPr="001027BF">
        <w:rPr>
          <w:rFonts w:eastAsia="Garamond-Book" w:cs="Garamond-Book"/>
          <w:color w:val="002060"/>
          <w:sz w:val="20"/>
          <w:szCs w:val="20"/>
        </w:rPr>
        <w:t xml:space="preserve"> diminution des fonds propres du fait d’enregistrement de pertes </w:t>
      </w:r>
      <w:r w:rsidR="00B546CB" w:rsidRPr="001027BF">
        <w:rPr>
          <w:rFonts w:eastAsia="Garamond-Book" w:cs="Garamond-Book"/>
          <w:color w:val="002060"/>
          <w:sz w:val="20"/>
          <w:szCs w:val="20"/>
        </w:rPr>
        <w:t>conséquentes</w:t>
      </w:r>
      <w:r w:rsidR="0023661C" w:rsidRPr="001027BF">
        <w:rPr>
          <w:rFonts w:eastAsia="Garamond-Book" w:cs="Garamond-Book"/>
          <w:color w:val="002060"/>
          <w:sz w:val="20"/>
          <w:szCs w:val="20"/>
        </w:rPr>
        <w:t xml:space="preserve">, </w:t>
      </w:r>
    </w:p>
    <w:p w:rsidR="001027BF" w:rsidRPr="001027BF" w:rsidRDefault="001027BF" w:rsidP="001027BF">
      <w:pPr>
        <w:pStyle w:val="Paragraphedeliste"/>
        <w:numPr>
          <w:ilvl w:val="1"/>
          <w:numId w:val="2"/>
        </w:numPr>
        <w:autoSpaceDE w:val="0"/>
        <w:autoSpaceDN w:val="0"/>
        <w:adjustRightInd w:val="0"/>
        <w:ind w:left="510" w:hanging="170"/>
        <w:contextualSpacing w:val="0"/>
        <w:jc w:val="both"/>
        <w:rPr>
          <w:rFonts w:cs="Helvetica-Condensed-Black"/>
          <w:b/>
          <w:color w:val="002060"/>
          <w:szCs w:val="40"/>
        </w:rPr>
      </w:pPr>
      <w:r w:rsidRPr="001027BF">
        <w:rPr>
          <w:rFonts w:eastAsia="Garamond-Book" w:cs="Garamond-Book"/>
          <w:color w:val="002060"/>
          <w:sz w:val="20"/>
          <w:szCs w:val="20"/>
        </w:rPr>
        <w:t>Ou</w:t>
      </w:r>
      <w:r w:rsidR="0023661C" w:rsidRPr="001027BF">
        <w:rPr>
          <w:rFonts w:eastAsia="Garamond-Book" w:cs="Garamond-Book"/>
          <w:color w:val="002060"/>
          <w:sz w:val="20"/>
          <w:szCs w:val="20"/>
        </w:rPr>
        <w:t xml:space="preserve"> au contraire une augmentation en raison de </w:t>
      </w:r>
      <w:r w:rsidR="00B546CB" w:rsidRPr="001027BF">
        <w:rPr>
          <w:rFonts w:eastAsia="Garamond-Book" w:cs="Garamond-Book"/>
          <w:color w:val="002060"/>
          <w:sz w:val="20"/>
          <w:szCs w:val="20"/>
        </w:rPr>
        <w:t>bénéfices</w:t>
      </w:r>
      <w:r w:rsidR="0023661C" w:rsidRPr="001027BF">
        <w:rPr>
          <w:rFonts w:eastAsia="Garamond-Book" w:cs="Garamond-Book"/>
          <w:color w:val="002060"/>
          <w:sz w:val="20"/>
          <w:szCs w:val="20"/>
        </w:rPr>
        <w:t xml:space="preserve"> importants, </w:t>
      </w:r>
    </w:p>
    <w:p w:rsidR="0057124D" w:rsidRPr="001027BF" w:rsidRDefault="001027BF" w:rsidP="001027BF">
      <w:pPr>
        <w:pStyle w:val="Paragraphedeliste"/>
        <w:numPr>
          <w:ilvl w:val="1"/>
          <w:numId w:val="2"/>
        </w:numPr>
        <w:autoSpaceDE w:val="0"/>
        <w:autoSpaceDN w:val="0"/>
        <w:adjustRightInd w:val="0"/>
        <w:ind w:left="510" w:hanging="170"/>
        <w:jc w:val="both"/>
        <w:rPr>
          <w:rFonts w:cs="Helvetica-Condensed-Black"/>
          <w:b/>
          <w:color w:val="002060"/>
          <w:szCs w:val="40"/>
        </w:rPr>
      </w:pPr>
      <w:r w:rsidRPr="001027BF">
        <w:rPr>
          <w:rFonts w:eastAsia="Garamond-Book" w:cs="Garamond-Book"/>
          <w:color w:val="002060"/>
          <w:sz w:val="20"/>
          <w:szCs w:val="20"/>
        </w:rPr>
        <w:t>Et</w:t>
      </w:r>
      <w:r w:rsidR="0023661C" w:rsidRPr="001027BF">
        <w:rPr>
          <w:rFonts w:eastAsia="Garamond-Book" w:cs="Garamond-Book"/>
          <w:color w:val="002060"/>
          <w:sz w:val="20"/>
          <w:szCs w:val="20"/>
        </w:rPr>
        <w:t xml:space="preserve"> enfin un remboursement des dettes </w:t>
      </w:r>
      <w:r w:rsidR="00B546CB" w:rsidRPr="001027BF">
        <w:rPr>
          <w:rFonts w:eastAsia="Garamond-Book" w:cs="Garamond-Book"/>
          <w:color w:val="002060"/>
          <w:sz w:val="20"/>
          <w:szCs w:val="20"/>
        </w:rPr>
        <w:t>financières</w:t>
      </w:r>
      <w:r w:rsidR="0023661C" w:rsidRPr="001027BF">
        <w:rPr>
          <w:rFonts w:eastAsia="Garamond-Book" w:cs="Garamond-Book"/>
          <w:color w:val="002060"/>
          <w:sz w:val="20"/>
          <w:szCs w:val="20"/>
        </w:rPr>
        <w:t xml:space="preserve"> </w:t>
      </w:r>
      <w:r w:rsidR="000461D9" w:rsidRPr="001027BF">
        <w:rPr>
          <w:rFonts w:eastAsia="Garamond-Book" w:cs="Garamond-Book"/>
          <w:color w:val="002060"/>
          <w:sz w:val="20"/>
          <w:szCs w:val="20"/>
        </w:rPr>
        <w:t>à</w:t>
      </w:r>
      <w:r w:rsidR="0023661C" w:rsidRPr="001027BF">
        <w:rPr>
          <w:rFonts w:eastAsia="Garamond-Book" w:cs="Garamond-Book"/>
          <w:color w:val="002060"/>
          <w:sz w:val="20"/>
          <w:szCs w:val="20"/>
        </w:rPr>
        <w:t xml:space="preserve"> long terme.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0"/>
        <w:gridCol w:w="1276"/>
        <w:gridCol w:w="1418"/>
        <w:gridCol w:w="1417"/>
      </w:tblGrid>
      <w:tr w:rsidR="00652F22" w:rsidRPr="00652F22" w:rsidTr="00652F22">
        <w:trPr>
          <w:jc w:val="center"/>
        </w:trPr>
        <w:tc>
          <w:tcPr>
            <w:tcW w:w="3950" w:type="dxa"/>
            <w:tcBorders>
              <w:top w:val="single" w:sz="4" w:space="0" w:color="auto"/>
              <w:left w:val="single" w:sz="4" w:space="0" w:color="auto"/>
              <w:bottom w:val="single" w:sz="4" w:space="0" w:color="auto"/>
              <w:right w:val="single" w:sz="4" w:space="0" w:color="FFFFFF" w:themeColor="background1"/>
            </w:tcBorders>
            <w:shd w:val="clear" w:color="auto" w:fill="808080" w:themeFill="background1" w:themeFillShade="80"/>
            <w:vAlign w:val="center"/>
          </w:tcPr>
          <w:p w:rsidR="00B546CB" w:rsidRPr="00652F22" w:rsidRDefault="00B546CB"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Type de ratio (en %)</w:t>
            </w:r>
          </w:p>
        </w:tc>
        <w:tc>
          <w:tcPr>
            <w:tcW w:w="12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cPr>
          <w:p w:rsidR="00B546CB" w:rsidRPr="00652F22" w:rsidRDefault="00B546CB"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2009</w:t>
            </w:r>
          </w:p>
        </w:tc>
        <w:tc>
          <w:tcPr>
            <w:tcW w:w="141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cPr>
          <w:p w:rsidR="00B546CB" w:rsidRPr="00652F22" w:rsidRDefault="00B546CB"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2010</w:t>
            </w:r>
          </w:p>
        </w:tc>
        <w:tc>
          <w:tcPr>
            <w:tcW w:w="1417" w:type="dxa"/>
            <w:tcBorders>
              <w:top w:val="single" w:sz="4" w:space="0" w:color="auto"/>
              <w:left w:val="single" w:sz="4" w:space="0" w:color="FFFFFF" w:themeColor="background1"/>
              <w:bottom w:val="single" w:sz="4" w:space="0" w:color="auto"/>
              <w:right w:val="single" w:sz="4" w:space="0" w:color="auto"/>
            </w:tcBorders>
            <w:shd w:val="clear" w:color="auto" w:fill="808080" w:themeFill="background1" w:themeFillShade="80"/>
          </w:tcPr>
          <w:p w:rsidR="00B546CB" w:rsidRPr="00652F22" w:rsidRDefault="00B546CB"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2011</w:t>
            </w:r>
          </w:p>
        </w:tc>
      </w:tr>
      <w:tr w:rsidR="00B546CB" w:rsidRPr="00861B09" w:rsidTr="00652F22">
        <w:trPr>
          <w:jc w:val="center"/>
        </w:trPr>
        <w:tc>
          <w:tcPr>
            <w:tcW w:w="3950" w:type="dxa"/>
            <w:tcBorders>
              <w:top w:val="single" w:sz="4" w:space="0" w:color="auto"/>
            </w:tcBorders>
          </w:tcPr>
          <w:p w:rsidR="00B546CB" w:rsidRPr="00861B09" w:rsidRDefault="00B546CB" w:rsidP="00ED5398">
            <w:pPr>
              <w:autoSpaceDE w:val="0"/>
              <w:autoSpaceDN w:val="0"/>
              <w:adjustRightInd w:val="0"/>
              <w:spacing w:before="120" w:after="120"/>
              <w:ind w:left="0" w:firstLine="0"/>
              <w:jc w:val="both"/>
              <w:rPr>
                <w:rFonts w:cs="Helvetica-Bold"/>
                <w:b/>
                <w:bCs/>
                <w:color w:val="002060"/>
                <w:sz w:val="20"/>
                <w:szCs w:val="20"/>
              </w:rPr>
            </w:pPr>
            <w:r w:rsidRPr="00861B09">
              <w:rPr>
                <w:rFonts w:cs="Helvetica-Bold"/>
                <w:b/>
                <w:bCs/>
                <w:color w:val="002060"/>
                <w:sz w:val="20"/>
                <w:szCs w:val="20"/>
              </w:rPr>
              <w:t>Indépendance financière</w:t>
            </w:r>
          </w:p>
        </w:tc>
        <w:tc>
          <w:tcPr>
            <w:tcW w:w="1276" w:type="dxa"/>
            <w:tcBorders>
              <w:top w:val="single" w:sz="4" w:space="0" w:color="auto"/>
            </w:tcBorders>
          </w:tcPr>
          <w:p w:rsidR="00B546CB" w:rsidRPr="00861B09" w:rsidRDefault="00650325" w:rsidP="00ED5398">
            <w:pPr>
              <w:autoSpaceDE w:val="0"/>
              <w:autoSpaceDN w:val="0"/>
              <w:adjustRightInd w:val="0"/>
              <w:spacing w:before="120" w:after="120"/>
              <w:ind w:left="0" w:firstLine="0"/>
              <w:jc w:val="center"/>
              <w:rPr>
                <w:rFonts w:cs="Helvetica-Bold"/>
                <w:b/>
                <w:bCs/>
                <w:color w:val="002060"/>
                <w:sz w:val="20"/>
                <w:szCs w:val="20"/>
              </w:rPr>
            </w:pPr>
            <w:r w:rsidRPr="00861B09">
              <w:rPr>
                <w:rFonts w:cs="Helvetica-Bold"/>
                <w:b/>
                <w:bCs/>
                <w:color w:val="002060"/>
                <w:sz w:val="20"/>
                <w:szCs w:val="20"/>
              </w:rPr>
              <w:t>89,31</w:t>
            </w:r>
          </w:p>
        </w:tc>
        <w:tc>
          <w:tcPr>
            <w:tcW w:w="1418" w:type="dxa"/>
            <w:tcBorders>
              <w:top w:val="single" w:sz="4" w:space="0" w:color="auto"/>
            </w:tcBorders>
          </w:tcPr>
          <w:p w:rsidR="00B546CB" w:rsidRPr="00861B09" w:rsidRDefault="00650325" w:rsidP="00ED5398">
            <w:pPr>
              <w:autoSpaceDE w:val="0"/>
              <w:autoSpaceDN w:val="0"/>
              <w:adjustRightInd w:val="0"/>
              <w:spacing w:before="120" w:after="120"/>
              <w:ind w:left="0" w:firstLine="0"/>
              <w:jc w:val="center"/>
              <w:rPr>
                <w:rFonts w:cs="Helvetica-Bold"/>
                <w:b/>
                <w:bCs/>
                <w:color w:val="002060"/>
                <w:sz w:val="20"/>
                <w:szCs w:val="20"/>
              </w:rPr>
            </w:pPr>
            <w:r w:rsidRPr="00861B09">
              <w:rPr>
                <w:rFonts w:cs="Helvetica-Bold"/>
                <w:b/>
                <w:bCs/>
                <w:color w:val="002060"/>
                <w:sz w:val="20"/>
                <w:szCs w:val="20"/>
              </w:rPr>
              <w:t>87,93</w:t>
            </w:r>
          </w:p>
        </w:tc>
        <w:tc>
          <w:tcPr>
            <w:tcW w:w="1417" w:type="dxa"/>
            <w:tcBorders>
              <w:top w:val="single" w:sz="4" w:space="0" w:color="auto"/>
            </w:tcBorders>
          </w:tcPr>
          <w:p w:rsidR="00B546CB" w:rsidRPr="00861B09" w:rsidRDefault="00650325" w:rsidP="00ED5398">
            <w:pPr>
              <w:autoSpaceDE w:val="0"/>
              <w:autoSpaceDN w:val="0"/>
              <w:adjustRightInd w:val="0"/>
              <w:spacing w:before="120" w:after="120"/>
              <w:ind w:left="0" w:firstLine="0"/>
              <w:jc w:val="center"/>
              <w:rPr>
                <w:rFonts w:cs="Helvetica-Bold"/>
                <w:b/>
                <w:bCs/>
                <w:color w:val="002060"/>
                <w:sz w:val="20"/>
                <w:szCs w:val="20"/>
              </w:rPr>
            </w:pPr>
            <w:r w:rsidRPr="00861B09">
              <w:rPr>
                <w:rFonts w:cs="Helvetica-Bold"/>
                <w:b/>
                <w:bCs/>
                <w:color w:val="002060"/>
                <w:sz w:val="20"/>
                <w:szCs w:val="20"/>
              </w:rPr>
              <w:t>87,17</w:t>
            </w:r>
          </w:p>
        </w:tc>
      </w:tr>
      <w:tr w:rsidR="00B546CB" w:rsidRPr="00861B09" w:rsidTr="008C73BD">
        <w:trPr>
          <w:jc w:val="center"/>
        </w:trPr>
        <w:tc>
          <w:tcPr>
            <w:tcW w:w="3950" w:type="dxa"/>
          </w:tcPr>
          <w:p w:rsidR="00650325" w:rsidRPr="00861B09" w:rsidRDefault="00650325"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Autonomie financière</w:t>
            </w:r>
          </w:p>
          <w:p w:rsidR="00B546CB" w:rsidRPr="00861B09" w:rsidRDefault="00650325" w:rsidP="00ED5398">
            <w:pPr>
              <w:autoSpaceDE w:val="0"/>
              <w:autoSpaceDN w:val="0"/>
              <w:adjustRightInd w:val="0"/>
              <w:spacing w:after="120"/>
              <w:ind w:left="0" w:firstLine="0"/>
              <w:jc w:val="both"/>
              <w:rPr>
                <w:rFonts w:cs="Helvetica-Bold"/>
                <w:b/>
                <w:bCs/>
                <w:color w:val="002060"/>
                <w:sz w:val="20"/>
                <w:szCs w:val="20"/>
              </w:rPr>
            </w:pPr>
            <w:r w:rsidRPr="00861B09">
              <w:rPr>
                <w:rFonts w:cs="Helvetica"/>
                <w:color w:val="002060"/>
                <w:sz w:val="20"/>
                <w:szCs w:val="20"/>
              </w:rPr>
              <w:t>(capitaux propres / endettement total)</w:t>
            </w:r>
          </w:p>
        </w:tc>
        <w:tc>
          <w:tcPr>
            <w:tcW w:w="1276" w:type="dxa"/>
            <w:vAlign w:val="center"/>
          </w:tcPr>
          <w:p w:rsidR="00B546CB" w:rsidRPr="00861B09" w:rsidRDefault="00650325" w:rsidP="00ED5398">
            <w:pPr>
              <w:autoSpaceDE w:val="0"/>
              <w:autoSpaceDN w:val="0"/>
              <w:adjustRightInd w:val="0"/>
              <w:spacing w:after="120"/>
              <w:ind w:left="0" w:firstLine="0"/>
              <w:jc w:val="center"/>
              <w:rPr>
                <w:rFonts w:cs="Helvetica-Bold"/>
                <w:b/>
                <w:bCs/>
                <w:color w:val="002060"/>
                <w:sz w:val="20"/>
                <w:szCs w:val="20"/>
              </w:rPr>
            </w:pPr>
            <w:r w:rsidRPr="00861B09">
              <w:rPr>
                <w:rFonts w:cs="Helvetica-Bold"/>
                <w:b/>
                <w:bCs/>
                <w:color w:val="002060"/>
                <w:sz w:val="20"/>
                <w:szCs w:val="20"/>
              </w:rPr>
              <w:t>11,97</w:t>
            </w:r>
          </w:p>
        </w:tc>
        <w:tc>
          <w:tcPr>
            <w:tcW w:w="1418" w:type="dxa"/>
            <w:vAlign w:val="center"/>
          </w:tcPr>
          <w:p w:rsidR="00B546CB" w:rsidRPr="00861B09" w:rsidRDefault="00650325" w:rsidP="00ED5398">
            <w:pPr>
              <w:autoSpaceDE w:val="0"/>
              <w:autoSpaceDN w:val="0"/>
              <w:adjustRightInd w:val="0"/>
              <w:spacing w:after="120"/>
              <w:ind w:left="0" w:firstLine="0"/>
              <w:jc w:val="center"/>
              <w:rPr>
                <w:rFonts w:cs="Helvetica-Bold"/>
                <w:b/>
                <w:bCs/>
                <w:color w:val="002060"/>
                <w:sz w:val="20"/>
                <w:szCs w:val="20"/>
              </w:rPr>
            </w:pPr>
            <w:r w:rsidRPr="00861B09">
              <w:rPr>
                <w:rFonts w:cs="Helvetica-Bold"/>
                <w:b/>
                <w:bCs/>
                <w:color w:val="002060"/>
                <w:sz w:val="20"/>
                <w:szCs w:val="20"/>
              </w:rPr>
              <w:t>13,73</w:t>
            </w:r>
          </w:p>
        </w:tc>
        <w:tc>
          <w:tcPr>
            <w:tcW w:w="1417" w:type="dxa"/>
            <w:vAlign w:val="center"/>
          </w:tcPr>
          <w:p w:rsidR="00B546CB" w:rsidRPr="00861B09" w:rsidRDefault="00650325" w:rsidP="00ED5398">
            <w:pPr>
              <w:autoSpaceDE w:val="0"/>
              <w:autoSpaceDN w:val="0"/>
              <w:adjustRightInd w:val="0"/>
              <w:spacing w:after="120"/>
              <w:ind w:left="0" w:firstLine="0"/>
              <w:jc w:val="center"/>
              <w:rPr>
                <w:rFonts w:cs="Helvetica-Bold"/>
                <w:b/>
                <w:bCs/>
                <w:color w:val="002060"/>
                <w:sz w:val="20"/>
                <w:szCs w:val="20"/>
              </w:rPr>
            </w:pPr>
            <w:r w:rsidRPr="00861B09">
              <w:rPr>
                <w:rFonts w:cs="Helvetica-Bold"/>
                <w:b/>
                <w:bCs/>
                <w:color w:val="002060"/>
                <w:sz w:val="20"/>
                <w:szCs w:val="20"/>
              </w:rPr>
              <w:t>14,73</w:t>
            </w:r>
          </w:p>
        </w:tc>
      </w:tr>
      <w:tr w:rsidR="00B546CB" w:rsidRPr="00861B09" w:rsidTr="008C73BD">
        <w:trPr>
          <w:jc w:val="center"/>
        </w:trPr>
        <w:tc>
          <w:tcPr>
            <w:tcW w:w="3950" w:type="dxa"/>
          </w:tcPr>
          <w:p w:rsidR="00650325" w:rsidRPr="00861B09" w:rsidRDefault="00650325"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Autonomie financière</w:t>
            </w:r>
          </w:p>
          <w:p w:rsidR="00B546CB" w:rsidRPr="00861B09" w:rsidRDefault="00650325" w:rsidP="00ED5398">
            <w:pPr>
              <w:autoSpaceDE w:val="0"/>
              <w:autoSpaceDN w:val="0"/>
              <w:adjustRightInd w:val="0"/>
              <w:spacing w:after="120"/>
              <w:ind w:left="0" w:firstLine="0"/>
              <w:jc w:val="both"/>
              <w:rPr>
                <w:rFonts w:cs="Helvetica-Bold"/>
                <w:b/>
                <w:bCs/>
                <w:color w:val="002060"/>
                <w:sz w:val="20"/>
                <w:szCs w:val="20"/>
              </w:rPr>
            </w:pPr>
            <w:r w:rsidRPr="00861B09">
              <w:rPr>
                <w:rFonts w:cs="Helvetica"/>
                <w:color w:val="002060"/>
                <w:sz w:val="20"/>
                <w:szCs w:val="20"/>
              </w:rPr>
              <w:t>(fonds propres / dettes financières à terme)</w:t>
            </w:r>
          </w:p>
        </w:tc>
        <w:tc>
          <w:tcPr>
            <w:tcW w:w="1276" w:type="dxa"/>
            <w:vAlign w:val="center"/>
          </w:tcPr>
          <w:p w:rsidR="00B546CB" w:rsidRPr="00861B09" w:rsidRDefault="00650325" w:rsidP="00ED5398">
            <w:pPr>
              <w:autoSpaceDE w:val="0"/>
              <w:autoSpaceDN w:val="0"/>
              <w:adjustRightInd w:val="0"/>
              <w:spacing w:after="120"/>
              <w:ind w:left="0" w:firstLine="0"/>
              <w:jc w:val="center"/>
              <w:rPr>
                <w:rFonts w:cs="Helvetica-Bold"/>
                <w:b/>
                <w:bCs/>
                <w:color w:val="002060"/>
                <w:sz w:val="20"/>
                <w:szCs w:val="20"/>
              </w:rPr>
            </w:pPr>
            <w:r w:rsidRPr="00861B09">
              <w:rPr>
                <w:rFonts w:cs="Helvetica-Bold"/>
                <w:b/>
                <w:bCs/>
                <w:color w:val="002060"/>
                <w:sz w:val="20"/>
                <w:szCs w:val="20"/>
              </w:rPr>
              <w:t>50,89</w:t>
            </w:r>
          </w:p>
        </w:tc>
        <w:tc>
          <w:tcPr>
            <w:tcW w:w="1418" w:type="dxa"/>
            <w:vAlign w:val="center"/>
          </w:tcPr>
          <w:p w:rsidR="00B546CB" w:rsidRPr="00861B09" w:rsidRDefault="00650325" w:rsidP="00ED5398">
            <w:pPr>
              <w:autoSpaceDE w:val="0"/>
              <w:autoSpaceDN w:val="0"/>
              <w:adjustRightInd w:val="0"/>
              <w:spacing w:after="120"/>
              <w:ind w:left="0" w:firstLine="0"/>
              <w:jc w:val="center"/>
              <w:rPr>
                <w:rFonts w:cs="Helvetica-Bold"/>
                <w:b/>
                <w:bCs/>
                <w:color w:val="002060"/>
                <w:sz w:val="20"/>
                <w:szCs w:val="20"/>
              </w:rPr>
            </w:pPr>
            <w:r w:rsidRPr="00861B09">
              <w:rPr>
                <w:rFonts w:cs="Helvetica"/>
                <w:b/>
                <w:color w:val="002060"/>
                <w:sz w:val="20"/>
                <w:szCs w:val="20"/>
              </w:rPr>
              <w:t>59,33</w:t>
            </w:r>
          </w:p>
        </w:tc>
        <w:tc>
          <w:tcPr>
            <w:tcW w:w="1417" w:type="dxa"/>
            <w:vAlign w:val="center"/>
          </w:tcPr>
          <w:p w:rsidR="00B546CB" w:rsidRPr="00861B09" w:rsidRDefault="00650325" w:rsidP="00ED5398">
            <w:pPr>
              <w:autoSpaceDE w:val="0"/>
              <w:autoSpaceDN w:val="0"/>
              <w:adjustRightInd w:val="0"/>
              <w:spacing w:after="120"/>
              <w:ind w:left="0" w:firstLine="0"/>
              <w:jc w:val="center"/>
              <w:rPr>
                <w:rFonts w:cs="Helvetica-Bold"/>
                <w:b/>
                <w:bCs/>
                <w:color w:val="002060"/>
                <w:sz w:val="20"/>
                <w:szCs w:val="20"/>
              </w:rPr>
            </w:pPr>
            <w:r w:rsidRPr="00861B09">
              <w:rPr>
                <w:rFonts w:cs="Helvetica"/>
                <w:b/>
                <w:color w:val="002060"/>
                <w:sz w:val="20"/>
                <w:szCs w:val="20"/>
              </w:rPr>
              <w:t>66,90</w:t>
            </w:r>
          </w:p>
        </w:tc>
      </w:tr>
    </w:tbl>
    <w:p w:rsidR="00B546CB" w:rsidRPr="00861B09" w:rsidRDefault="00B546CB" w:rsidP="00F01473">
      <w:pPr>
        <w:autoSpaceDE w:val="0"/>
        <w:autoSpaceDN w:val="0"/>
        <w:adjustRightInd w:val="0"/>
        <w:spacing w:before="120"/>
        <w:ind w:left="284" w:firstLine="0"/>
        <w:jc w:val="both"/>
        <w:rPr>
          <w:rFonts w:eastAsia="Garamond-Book" w:cs="Garamond-Book"/>
          <w:color w:val="002060"/>
          <w:sz w:val="20"/>
          <w:szCs w:val="20"/>
        </w:rPr>
      </w:pPr>
      <w:r w:rsidRPr="00861B09">
        <w:rPr>
          <w:rFonts w:eastAsia="Garamond-Book" w:cs="Garamond-Book"/>
          <w:color w:val="002060"/>
          <w:sz w:val="20"/>
          <w:szCs w:val="20"/>
        </w:rPr>
        <w:t xml:space="preserve">La situation de l’entreprise CIPA est </w:t>
      </w:r>
      <w:r w:rsidR="00650325" w:rsidRPr="00861B09">
        <w:rPr>
          <w:rFonts w:eastAsia="Garamond-Book" w:cs="Garamond-Book"/>
          <w:color w:val="002060"/>
          <w:sz w:val="20"/>
          <w:szCs w:val="20"/>
        </w:rPr>
        <w:t>délicate</w:t>
      </w:r>
      <w:r w:rsidRPr="00861B09">
        <w:rPr>
          <w:rFonts w:eastAsia="Garamond-Book" w:cs="Garamond-Book"/>
          <w:color w:val="002060"/>
          <w:sz w:val="20"/>
          <w:szCs w:val="20"/>
        </w:rPr>
        <w:t xml:space="preserve"> du point de vue du niveau de l’endettement. On retrouve la faiblesse des capitaux propres, dont une partie de l’explication tient </w:t>
      </w:r>
      <w:r w:rsidR="00650325" w:rsidRPr="00861B09">
        <w:rPr>
          <w:rFonts w:eastAsia="Garamond-Book" w:cs="Garamond-Book"/>
          <w:color w:val="002060"/>
          <w:sz w:val="20"/>
          <w:szCs w:val="20"/>
        </w:rPr>
        <w:t>à</w:t>
      </w:r>
      <w:r w:rsidRPr="00861B09">
        <w:rPr>
          <w:rFonts w:eastAsia="Garamond-Book" w:cs="Garamond-Book"/>
          <w:color w:val="002060"/>
          <w:sz w:val="20"/>
          <w:szCs w:val="20"/>
        </w:rPr>
        <w:t xml:space="preserve"> la </w:t>
      </w:r>
      <w:r w:rsidR="00650325" w:rsidRPr="00861B09">
        <w:rPr>
          <w:rFonts w:eastAsia="Garamond-Book" w:cs="Garamond-Book"/>
          <w:color w:val="002060"/>
          <w:sz w:val="20"/>
          <w:szCs w:val="20"/>
        </w:rPr>
        <w:t>stratégie</w:t>
      </w:r>
      <w:r w:rsidRPr="00861B09">
        <w:rPr>
          <w:rFonts w:eastAsia="Garamond-Book" w:cs="Garamond-Book"/>
          <w:color w:val="002060"/>
          <w:sz w:val="20"/>
          <w:szCs w:val="20"/>
        </w:rPr>
        <w:t xml:space="preserve"> du dirigeant.</w:t>
      </w:r>
    </w:p>
    <w:p w:rsidR="00B546CB" w:rsidRPr="00861B09" w:rsidRDefault="00B546CB" w:rsidP="00F01473">
      <w:pPr>
        <w:autoSpaceDE w:val="0"/>
        <w:autoSpaceDN w:val="0"/>
        <w:adjustRightInd w:val="0"/>
        <w:ind w:left="284" w:firstLine="0"/>
        <w:jc w:val="both"/>
        <w:rPr>
          <w:rFonts w:eastAsia="Garamond-Book" w:cs="Garamond-Book"/>
          <w:color w:val="002060"/>
          <w:sz w:val="20"/>
          <w:szCs w:val="20"/>
        </w:rPr>
      </w:pPr>
      <w:r w:rsidRPr="00861B09">
        <w:rPr>
          <w:rFonts w:eastAsia="Garamond-Book" w:cs="Garamond-Book"/>
          <w:color w:val="002060"/>
          <w:sz w:val="20"/>
          <w:szCs w:val="20"/>
        </w:rPr>
        <w:t xml:space="preserve">La </w:t>
      </w:r>
      <w:r w:rsidR="00650325" w:rsidRPr="00861B09">
        <w:rPr>
          <w:rFonts w:eastAsia="Garamond-Book" w:cs="Garamond-Book"/>
          <w:color w:val="002060"/>
          <w:sz w:val="20"/>
          <w:szCs w:val="20"/>
        </w:rPr>
        <w:t>très</w:t>
      </w:r>
      <w:r w:rsidRPr="00861B09">
        <w:rPr>
          <w:rFonts w:eastAsia="Garamond-Book" w:cs="Garamond-Book"/>
          <w:color w:val="002060"/>
          <w:sz w:val="20"/>
          <w:szCs w:val="20"/>
        </w:rPr>
        <w:t xml:space="preserve"> </w:t>
      </w:r>
      <w:r w:rsidR="00650325" w:rsidRPr="00861B09">
        <w:rPr>
          <w:rFonts w:eastAsia="Garamond-Book" w:cs="Garamond-Book"/>
          <w:color w:val="002060"/>
          <w:sz w:val="20"/>
          <w:szCs w:val="20"/>
        </w:rPr>
        <w:t>légère</w:t>
      </w:r>
      <w:r w:rsidRPr="00861B09">
        <w:rPr>
          <w:rFonts w:eastAsia="Garamond-Book" w:cs="Garamond-Book"/>
          <w:color w:val="002060"/>
          <w:sz w:val="20"/>
          <w:szCs w:val="20"/>
        </w:rPr>
        <w:t xml:space="preserve"> </w:t>
      </w:r>
      <w:r w:rsidR="00650325" w:rsidRPr="00861B09">
        <w:rPr>
          <w:rFonts w:eastAsia="Garamond-Book" w:cs="Garamond-Book"/>
          <w:color w:val="002060"/>
          <w:sz w:val="20"/>
          <w:szCs w:val="20"/>
        </w:rPr>
        <w:t>amélioration</w:t>
      </w:r>
      <w:r w:rsidRPr="00861B09">
        <w:rPr>
          <w:rFonts w:eastAsia="Garamond-Book" w:cs="Garamond-Book"/>
          <w:color w:val="002060"/>
          <w:sz w:val="20"/>
          <w:szCs w:val="20"/>
        </w:rPr>
        <w:t xml:space="preserve"> </w:t>
      </w:r>
      <w:r w:rsidR="00650325" w:rsidRPr="00861B09">
        <w:rPr>
          <w:rFonts w:eastAsia="Garamond-Book" w:cs="Garamond-Book"/>
          <w:color w:val="002060"/>
          <w:sz w:val="20"/>
          <w:szCs w:val="20"/>
        </w:rPr>
        <w:t>observée</w:t>
      </w:r>
      <w:r w:rsidRPr="00861B09">
        <w:rPr>
          <w:rFonts w:eastAsia="Garamond-Book" w:cs="Garamond-Book"/>
          <w:color w:val="002060"/>
          <w:sz w:val="20"/>
          <w:szCs w:val="20"/>
        </w:rPr>
        <w:t xml:space="preserve"> sur les ratios d’autonomie </w:t>
      </w:r>
      <w:r w:rsidR="00650325" w:rsidRPr="00861B09">
        <w:rPr>
          <w:rFonts w:eastAsia="Garamond-Book" w:cs="Garamond-Book"/>
          <w:color w:val="002060"/>
          <w:sz w:val="20"/>
          <w:szCs w:val="20"/>
        </w:rPr>
        <w:t>financière</w:t>
      </w:r>
      <w:r w:rsidRPr="00861B09">
        <w:rPr>
          <w:rFonts w:eastAsia="Garamond-Book" w:cs="Garamond-Book"/>
          <w:color w:val="002060"/>
          <w:sz w:val="20"/>
          <w:szCs w:val="20"/>
        </w:rPr>
        <w:t xml:space="preserve"> ne suffit pas </w:t>
      </w:r>
      <w:r w:rsidR="00650325" w:rsidRPr="00861B09">
        <w:rPr>
          <w:rFonts w:eastAsia="Garamond-Book" w:cs="Garamond-Book"/>
          <w:color w:val="002060"/>
          <w:sz w:val="20"/>
          <w:szCs w:val="20"/>
        </w:rPr>
        <w:t>à</w:t>
      </w:r>
      <w:r w:rsidRPr="00861B09">
        <w:rPr>
          <w:rFonts w:eastAsia="Garamond-Book" w:cs="Garamond-Book"/>
          <w:color w:val="002060"/>
          <w:sz w:val="20"/>
          <w:szCs w:val="20"/>
        </w:rPr>
        <w:t xml:space="preserve"> </w:t>
      </w:r>
      <w:r w:rsidR="00650325" w:rsidRPr="00861B09">
        <w:rPr>
          <w:rFonts w:eastAsia="Garamond-Book" w:cs="Garamond-Book"/>
          <w:color w:val="002060"/>
          <w:sz w:val="20"/>
          <w:szCs w:val="20"/>
        </w:rPr>
        <w:t>rétablir</w:t>
      </w:r>
      <w:r w:rsidRPr="00861B09">
        <w:rPr>
          <w:rFonts w:eastAsia="Garamond-Book" w:cs="Garamond-Book"/>
          <w:color w:val="002060"/>
          <w:sz w:val="20"/>
          <w:szCs w:val="20"/>
        </w:rPr>
        <w:t xml:space="preserve"> une situation largement </w:t>
      </w:r>
      <w:r w:rsidR="00650325" w:rsidRPr="00861B09">
        <w:rPr>
          <w:rFonts w:eastAsia="Garamond-Book" w:cs="Garamond-Book"/>
          <w:color w:val="002060"/>
          <w:sz w:val="20"/>
          <w:szCs w:val="20"/>
        </w:rPr>
        <w:t>au-delà</w:t>
      </w:r>
      <w:r w:rsidRPr="00861B09">
        <w:rPr>
          <w:rFonts w:eastAsia="Garamond-Book" w:cs="Garamond-Book"/>
          <w:color w:val="002060"/>
          <w:sz w:val="20"/>
          <w:szCs w:val="20"/>
        </w:rPr>
        <w:t xml:space="preserve"> des seuils </w:t>
      </w:r>
      <w:r w:rsidR="00650325" w:rsidRPr="00861B09">
        <w:rPr>
          <w:rFonts w:eastAsia="Garamond-Book" w:cs="Garamond-Book"/>
          <w:color w:val="002060"/>
          <w:sz w:val="20"/>
          <w:szCs w:val="20"/>
        </w:rPr>
        <w:t>communément</w:t>
      </w:r>
      <w:r w:rsidRPr="00861B09">
        <w:rPr>
          <w:rFonts w:eastAsia="Garamond-Book" w:cs="Garamond-Book"/>
          <w:color w:val="002060"/>
          <w:sz w:val="20"/>
          <w:szCs w:val="20"/>
        </w:rPr>
        <w:t xml:space="preserve"> admis pour </w:t>
      </w:r>
      <w:r w:rsidR="00650325" w:rsidRPr="00861B09">
        <w:rPr>
          <w:rFonts w:eastAsia="Garamond-Book" w:cs="Garamond-Book"/>
          <w:color w:val="002060"/>
          <w:sz w:val="20"/>
          <w:szCs w:val="20"/>
        </w:rPr>
        <w:t>apprécier</w:t>
      </w:r>
      <w:r w:rsidRPr="00861B09">
        <w:rPr>
          <w:rFonts w:eastAsia="Garamond-Book" w:cs="Garamond-Book"/>
          <w:color w:val="002060"/>
          <w:sz w:val="20"/>
          <w:szCs w:val="20"/>
        </w:rPr>
        <w:t xml:space="preserve"> l’endettement de l’entreprise. La CIPA appara</w:t>
      </w:r>
      <w:r w:rsidR="002E3FD6" w:rsidRPr="00861B09">
        <w:rPr>
          <w:rFonts w:eastAsia="Garamond-Book" w:cs="Garamond-Book"/>
          <w:color w:val="002060"/>
          <w:sz w:val="20"/>
          <w:szCs w:val="20"/>
        </w:rPr>
        <w:t>î</w:t>
      </w:r>
      <w:r w:rsidRPr="00861B09">
        <w:rPr>
          <w:rFonts w:eastAsia="Garamond-Book" w:cs="Garamond-Book"/>
          <w:color w:val="002060"/>
          <w:sz w:val="20"/>
          <w:szCs w:val="20"/>
        </w:rPr>
        <w:t xml:space="preserve">t trop largement </w:t>
      </w:r>
      <w:r w:rsidR="00650325" w:rsidRPr="00861B09">
        <w:rPr>
          <w:rFonts w:eastAsia="Garamond-Book" w:cs="Garamond-Book"/>
          <w:color w:val="002060"/>
          <w:sz w:val="20"/>
          <w:szCs w:val="20"/>
        </w:rPr>
        <w:t>dépendante</w:t>
      </w:r>
      <w:r w:rsidRPr="00861B09">
        <w:rPr>
          <w:rFonts w:eastAsia="Garamond-Book" w:cs="Garamond-Book"/>
          <w:color w:val="002060"/>
          <w:sz w:val="20"/>
          <w:szCs w:val="20"/>
        </w:rPr>
        <w:t xml:space="preserve"> de ses </w:t>
      </w:r>
      <w:r w:rsidR="00650325" w:rsidRPr="00861B09">
        <w:rPr>
          <w:rFonts w:eastAsia="Garamond-Book" w:cs="Garamond-Book"/>
          <w:color w:val="002060"/>
          <w:sz w:val="20"/>
          <w:szCs w:val="20"/>
        </w:rPr>
        <w:t>créanciers</w:t>
      </w:r>
      <w:r w:rsidRPr="00861B09">
        <w:rPr>
          <w:rFonts w:eastAsia="Garamond-Book" w:cs="Garamond-Book"/>
          <w:color w:val="002060"/>
          <w:sz w:val="20"/>
          <w:szCs w:val="20"/>
        </w:rPr>
        <w:t>.</w:t>
      </w:r>
    </w:p>
    <w:p w:rsidR="007C2105" w:rsidRDefault="00B546CB" w:rsidP="00F01473">
      <w:pPr>
        <w:autoSpaceDE w:val="0"/>
        <w:autoSpaceDN w:val="0"/>
        <w:adjustRightInd w:val="0"/>
        <w:ind w:left="284" w:firstLine="0"/>
        <w:jc w:val="both"/>
        <w:rPr>
          <w:rFonts w:eastAsia="Garamond-Book" w:cs="Garamond-Book"/>
          <w:color w:val="002060"/>
          <w:sz w:val="20"/>
          <w:szCs w:val="20"/>
        </w:rPr>
      </w:pPr>
      <w:r w:rsidRPr="00861B09">
        <w:rPr>
          <w:rFonts w:eastAsia="Garamond-Book" w:cs="Garamond-Book"/>
          <w:color w:val="002060"/>
          <w:sz w:val="20"/>
          <w:szCs w:val="20"/>
        </w:rPr>
        <w:t xml:space="preserve">On peut approfondir le risque de </w:t>
      </w:r>
      <w:r w:rsidR="00650325" w:rsidRPr="00861B09">
        <w:rPr>
          <w:rFonts w:eastAsia="Garamond-Book" w:cs="Garamond-Book"/>
          <w:color w:val="002060"/>
          <w:sz w:val="20"/>
          <w:szCs w:val="20"/>
        </w:rPr>
        <w:t>dépendance</w:t>
      </w:r>
      <w:r w:rsidRPr="00861B09">
        <w:rPr>
          <w:rFonts w:eastAsia="Garamond-Book" w:cs="Garamond-Book"/>
          <w:color w:val="002060"/>
          <w:sz w:val="20"/>
          <w:szCs w:val="20"/>
        </w:rPr>
        <w:t xml:space="preserve"> de l’entreprise vis-</w:t>
      </w:r>
      <w:r w:rsidR="002E3FD6" w:rsidRPr="00861B09">
        <w:rPr>
          <w:rFonts w:eastAsia="Garamond-Book" w:cs="Garamond-Book"/>
          <w:color w:val="002060"/>
          <w:sz w:val="20"/>
          <w:szCs w:val="20"/>
        </w:rPr>
        <w:t>à</w:t>
      </w:r>
      <w:r w:rsidRPr="00861B09">
        <w:rPr>
          <w:rFonts w:eastAsia="Garamond-Book" w:cs="Garamond-Book"/>
          <w:color w:val="002060"/>
          <w:sz w:val="20"/>
          <w:szCs w:val="20"/>
        </w:rPr>
        <w:t xml:space="preserve">-vis de ses banquiers en mesurant l’importance de l’endettement financier dans le total du bilan : il s’agit du taux d’endettement. </w:t>
      </w:r>
    </w:p>
    <w:p w:rsidR="00B546CB" w:rsidRPr="00861B09" w:rsidRDefault="00B546CB" w:rsidP="00F01473">
      <w:pPr>
        <w:autoSpaceDE w:val="0"/>
        <w:autoSpaceDN w:val="0"/>
        <w:adjustRightInd w:val="0"/>
        <w:ind w:left="284" w:firstLine="0"/>
        <w:jc w:val="both"/>
        <w:rPr>
          <w:rFonts w:eastAsia="Garamond-Book" w:cs="Garamond-Book"/>
          <w:color w:val="002060"/>
          <w:sz w:val="20"/>
          <w:szCs w:val="20"/>
        </w:rPr>
      </w:pPr>
      <w:r w:rsidRPr="000461D9">
        <w:rPr>
          <w:rFonts w:eastAsia="Garamond-Book" w:cs="Garamond-Book"/>
          <w:color w:val="002060"/>
          <w:sz w:val="20"/>
          <w:szCs w:val="20"/>
          <w:shd w:val="clear" w:color="auto" w:fill="FFFF00"/>
        </w:rPr>
        <w:t xml:space="preserve">Selon les normes bancaires en vigueur, celui-ci ne doit pas </w:t>
      </w:r>
      <w:r w:rsidR="00650325" w:rsidRPr="000461D9">
        <w:rPr>
          <w:rFonts w:eastAsia="Garamond-Book" w:cs="Garamond-Book"/>
          <w:color w:val="002060"/>
          <w:sz w:val="20"/>
          <w:szCs w:val="20"/>
          <w:shd w:val="clear" w:color="auto" w:fill="FFFF00"/>
        </w:rPr>
        <w:t>représenter</w:t>
      </w:r>
      <w:r w:rsidRPr="000461D9">
        <w:rPr>
          <w:rFonts w:eastAsia="Garamond-Book" w:cs="Garamond-Book"/>
          <w:color w:val="002060"/>
          <w:sz w:val="20"/>
          <w:szCs w:val="20"/>
          <w:shd w:val="clear" w:color="auto" w:fill="FFFF00"/>
        </w:rPr>
        <w:t xml:space="preserve"> plus du tiers du total du bilan</w:t>
      </w:r>
      <w:r w:rsidRPr="007C2105">
        <w:rPr>
          <w:rFonts w:eastAsia="Garamond-Book" w:cs="Garamond-Book"/>
          <w:color w:val="002060"/>
          <w:sz w:val="20"/>
          <w:szCs w:val="20"/>
        </w:rPr>
        <w:t>.</w:t>
      </w:r>
    </w:p>
    <w:p w:rsidR="00B546CB" w:rsidRDefault="00B546CB" w:rsidP="00F01473">
      <w:pPr>
        <w:autoSpaceDE w:val="0"/>
        <w:autoSpaceDN w:val="0"/>
        <w:adjustRightInd w:val="0"/>
        <w:ind w:left="284" w:firstLine="0"/>
        <w:jc w:val="both"/>
        <w:rPr>
          <w:rFonts w:eastAsia="Garamond-Book" w:cs="Garamond-Book"/>
          <w:color w:val="002060"/>
          <w:sz w:val="20"/>
          <w:szCs w:val="20"/>
        </w:rPr>
      </w:pPr>
      <w:r w:rsidRPr="00861B09">
        <w:rPr>
          <w:rFonts w:eastAsia="Garamond-Book" w:cs="Garamond-Book"/>
          <w:color w:val="002060"/>
          <w:sz w:val="20"/>
          <w:szCs w:val="20"/>
        </w:rPr>
        <w:t xml:space="preserve">L’endettement financier comprend l’ensemble des dettes </w:t>
      </w:r>
      <w:r w:rsidR="00650325" w:rsidRPr="00861B09">
        <w:rPr>
          <w:rFonts w:eastAsia="Garamond-Book" w:cs="Garamond-Book"/>
          <w:color w:val="002060"/>
          <w:sz w:val="20"/>
          <w:szCs w:val="20"/>
        </w:rPr>
        <w:t>financières</w:t>
      </w:r>
      <w:r w:rsidRPr="00861B09">
        <w:rPr>
          <w:rFonts w:eastAsia="Garamond-Book" w:cs="Garamond-Book"/>
          <w:color w:val="002060"/>
          <w:sz w:val="20"/>
          <w:szCs w:val="20"/>
        </w:rPr>
        <w:t xml:space="preserve"> de l’entreprise y compris les effets escomptes non </w:t>
      </w:r>
      <w:r w:rsidR="00650325" w:rsidRPr="00861B09">
        <w:rPr>
          <w:rFonts w:eastAsia="Garamond-Book" w:cs="Garamond-Book"/>
          <w:color w:val="002060"/>
          <w:sz w:val="20"/>
          <w:szCs w:val="20"/>
        </w:rPr>
        <w:t>échus</w:t>
      </w:r>
      <w:r w:rsidRPr="00861B09">
        <w:rPr>
          <w:rFonts w:eastAsia="Garamond-Book" w:cs="Garamond-Book"/>
          <w:color w:val="002060"/>
          <w:sz w:val="20"/>
          <w:szCs w:val="20"/>
        </w:rPr>
        <w:t xml:space="preserve"> et les engagements de </w:t>
      </w:r>
      <w:r w:rsidR="00650325" w:rsidRPr="00861B09">
        <w:rPr>
          <w:rFonts w:eastAsia="Garamond-Book" w:cs="Garamond-Book"/>
          <w:color w:val="002060"/>
          <w:sz w:val="20"/>
          <w:szCs w:val="20"/>
        </w:rPr>
        <w:t>crédit-bail</w:t>
      </w:r>
      <w:r w:rsidRPr="00861B09">
        <w:rPr>
          <w:rFonts w:eastAsia="Garamond-Book" w:cs="Garamond-Book"/>
          <w:color w:val="002060"/>
          <w:sz w:val="20"/>
          <w:szCs w:val="20"/>
        </w:rPr>
        <w:t>.</w:t>
      </w:r>
    </w:p>
    <w:p w:rsidR="00B546CB" w:rsidRPr="00861B09" w:rsidRDefault="00B546CB" w:rsidP="00F01473">
      <w:pPr>
        <w:autoSpaceDE w:val="0"/>
        <w:autoSpaceDN w:val="0"/>
        <w:adjustRightInd w:val="0"/>
        <w:spacing w:after="120"/>
        <w:ind w:left="284" w:firstLine="0"/>
        <w:jc w:val="both"/>
        <w:rPr>
          <w:rFonts w:eastAsia="Garamond-Book" w:cs="Garamond-Book"/>
          <w:color w:val="002060"/>
          <w:sz w:val="20"/>
          <w:szCs w:val="20"/>
        </w:rPr>
      </w:pPr>
      <w:r w:rsidRPr="00861B09">
        <w:rPr>
          <w:rFonts w:eastAsia="Garamond-Book" w:cs="Garamond-Book"/>
          <w:color w:val="002060"/>
          <w:sz w:val="20"/>
          <w:szCs w:val="20"/>
        </w:rPr>
        <w:t>Pour la CIPA, on trouve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3"/>
        <w:gridCol w:w="1276"/>
        <w:gridCol w:w="1418"/>
        <w:gridCol w:w="1417"/>
      </w:tblGrid>
      <w:tr w:rsidR="00652F22" w:rsidRPr="00652F22" w:rsidTr="0057124D">
        <w:trPr>
          <w:jc w:val="center"/>
        </w:trPr>
        <w:tc>
          <w:tcPr>
            <w:tcW w:w="4493" w:type="dxa"/>
            <w:tcBorders>
              <w:top w:val="single" w:sz="4" w:space="0" w:color="auto"/>
              <w:left w:val="single" w:sz="4" w:space="0" w:color="auto"/>
              <w:bottom w:val="nil"/>
              <w:right w:val="single" w:sz="4" w:space="0" w:color="FFFFFF" w:themeColor="background1"/>
            </w:tcBorders>
            <w:shd w:val="clear" w:color="auto" w:fill="808080" w:themeFill="background1" w:themeFillShade="80"/>
            <w:vAlign w:val="center"/>
          </w:tcPr>
          <w:p w:rsidR="00650325" w:rsidRPr="00652F22" w:rsidRDefault="00650325" w:rsidP="00F01473">
            <w:pPr>
              <w:autoSpaceDE w:val="0"/>
              <w:autoSpaceDN w:val="0"/>
              <w:adjustRightInd w:val="0"/>
              <w:spacing w:before="60"/>
              <w:ind w:left="0" w:firstLine="0"/>
              <w:jc w:val="both"/>
              <w:rPr>
                <w:rFonts w:cs="Helvetica-Bold"/>
                <w:b/>
                <w:bCs/>
                <w:color w:val="FFFFFF" w:themeColor="background1"/>
                <w:sz w:val="20"/>
                <w:szCs w:val="20"/>
              </w:rPr>
            </w:pPr>
            <w:r w:rsidRPr="00652F22">
              <w:rPr>
                <w:rFonts w:cs="Helvetica-Bold"/>
                <w:b/>
                <w:bCs/>
                <w:color w:val="FFFFFF" w:themeColor="background1"/>
                <w:sz w:val="20"/>
                <w:szCs w:val="20"/>
              </w:rPr>
              <w:t>En K€</w:t>
            </w:r>
          </w:p>
        </w:tc>
        <w:tc>
          <w:tcPr>
            <w:tcW w:w="1276" w:type="dxa"/>
            <w:tcBorders>
              <w:top w:val="single" w:sz="4" w:space="0" w:color="auto"/>
              <w:left w:val="single" w:sz="4" w:space="0" w:color="FFFFFF" w:themeColor="background1"/>
              <w:bottom w:val="nil"/>
              <w:right w:val="single" w:sz="4" w:space="0" w:color="FFFFFF" w:themeColor="background1"/>
            </w:tcBorders>
            <w:shd w:val="clear" w:color="auto" w:fill="808080" w:themeFill="background1" w:themeFillShade="80"/>
          </w:tcPr>
          <w:p w:rsidR="00650325" w:rsidRPr="00652F22" w:rsidRDefault="00650325"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2009</w:t>
            </w:r>
          </w:p>
        </w:tc>
        <w:tc>
          <w:tcPr>
            <w:tcW w:w="1418" w:type="dxa"/>
            <w:tcBorders>
              <w:top w:val="single" w:sz="4" w:space="0" w:color="auto"/>
              <w:left w:val="single" w:sz="4" w:space="0" w:color="FFFFFF" w:themeColor="background1"/>
              <w:bottom w:val="nil"/>
              <w:right w:val="single" w:sz="4" w:space="0" w:color="FFFFFF" w:themeColor="background1"/>
            </w:tcBorders>
            <w:shd w:val="clear" w:color="auto" w:fill="808080" w:themeFill="background1" w:themeFillShade="80"/>
          </w:tcPr>
          <w:p w:rsidR="00650325" w:rsidRPr="00652F22" w:rsidRDefault="00650325"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2010</w:t>
            </w:r>
          </w:p>
        </w:tc>
        <w:tc>
          <w:tcPr>
            <w:tcW w:w="1417" w:type="dxa"/>
            <w:tcBorders>
              <w:top w:val="single" w:sz="4" w:space="0" w:color="auto"/>
              <w:left w:val="single" w:sz="4" w:space="0" w:color="FFFFFF" w:themeColor="background1"/>
              <w:bottom w:val="nil"/>
              <w:right w:val="single" w:sz="4" w:space="0" w:color="auto"/>
            </w:tcBorders>
            <w:shd w:val="clear" w:color="auto" w:fill="808080" w:themeFill="background1" w:themeFillShade="80"/>
          </w:tcPr>
          <w:p w:rsidR="00650325" w:rsidRPr="00652F22" w:rsidRDefault="00650325" w:rsidP="00F01473">
            <w:pPr>
              <w:autoSpaceDE w:val="0"/>
              <w:autoSpaceDN w:val="0"/>
              <w:adjustRightInd w:val="0"/>
              <w:spacing w:before="6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2011</w:t>
            </w:r>
          </w:p>
        </w:tc>
      </w:tr>
      <w:tr w:rsidR="00650325" w:rsidRPr="00861B09" w:rsidTr="0057124D">
        <w:trPr>
          <w:jc w:val="center"/>
        </w:trPr>
        <w:tc>
          <w:tcPr>
            <w:tcW w:w="4493" w:type="dxa"/>
            <w:tcBorders>
              <w:top w:val="nil"/>
            </w:tcBorders>
          </w:tcPr>
          <w:p w:rsidR="00650325" w:rsidRPr="00861B09" w:rsidRDefault="00650325"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Endettement financier</w:t>
            </w:r>
          </w:p>
          <w:p w:rsidR="00650325" w:rsidRPr="00861B09" w:rsidRDefault="00650325" w:rsidP="00ED5398">
            <w:pPr>
              <w:autoSpaceDE w:val="0"/>
              <w:autoSpaceDN w:val="0"/>
              <w:adjustRightInd w:val="0"/>
              <w:spacing w:after="120"/>
              <w:ind w:left="0" w:firstLine="0"/>
              <w:jc w:val="both"/>
              <w:rPr>
                <w:rFonts w:cs="Helvetica-Bold"/>
                <w:b/>
                <w:bCs/>
                <w:color w:val="002060"/>
                <w:sz w:val="20"/>
                <w:szCs w:val="20"/>
              </w:rPr>
            </w:pPr>
            <w:r w:rsidRPr="00861B09">
              <w:rPr>
                <w:rFonts w:cs="Helvetica"/>
                <w:color w:val="002060"/>
                <w:sz w:val="20"/>
                <w:szCs w:val="20"/>
              </w:rPr>
              <w:t>(y compris EENE et engagements de crédit-bail)</w:t>
            </w:r>
          </w:p>
        </w:tc>
        <w:tc>
          <w:tcPr>
            <w:tcW w:w="1276" w:type="dxa"/>
            <w:tcBorders>
              <w:top w:val="nil"/>
            </w:tcBorders>
          </w:tcPr>
          <w:p w:rsidR="00650325" w:rsidRPr="00861B09" w:rsidRDefault="003B6912" w:rsidP="00ED5398">
            <w:pPr>
              <w:autoSpaceDE w:val="0"/>
              <w:autoSpaceDN w:val="0"/>
              <w:adjustRightInd w:val="0"/>
              <w:spacing w:before="120" w:after="120"/>
              <w:ind w:left="0" w:firstLine="0"/>
              <w:jc w:val="right"/>
              <w:rPr>
                <w:rFonts w:cs="Helvetica-Bold"/>
                <w:b/>
                <w:bCs/>
                <w:color w:val="002060"/>
                <w:sz w:val="20"/>
                <w:szCs w:val="20"/>
              </w:rPr>
            </w:pPr>
            <w:r w:rsidRPr="00861B09">
              <w:rPr>
                <w:rFonts w:cs="Helvetica-Bold"/>
                <w:b/>
                <w:bCs/>
                <w:color w:val="002060"/>
                <w:sz w:val="20"/>
                <w:szCs w:val="20"/>
              </w:rPr>
              <w:t>2.385</w:t>
            </w:r>
          </w:p>
        </w:tc>
        <w:tc>
          <w:tcPr>
            <w:tcW w:w="1418" w:type="dxa"/>
            <w:tcBorders>
              <w:top w:val="nil"/>
            </w:tcBorders>
          </w:tcPr>
          <w:p w:rsidR="00650325" w:rsidRPr="00861B09" w:rsidRDefault="003B6912" w:rsidP="00ED5398">
            <w:pPr>
              <w:autoSpaceDE w:val="0"/>
              <w:autoSpaceDN w:val="0"/>
              <w:adjustRightInd w:val="0"/>
              <w:spacing w:before="120" w:after="120"/>
              <w:ind w:left="0" w:firstLine="0"/>
              <w:jc w:val="right"/>
              <w:rPr>
                <w:rFonts w:cs="Helvetica-Bold"/>
                <w:b/>
                <w:bCs/>
                <w:color w:val="002060"/>
                <w:sz w:val="20"/>
                <w:szCs w:val="20"/>
              </w:rPr>
            </w:pPr>
            <w:r w:rsidRPr="00861B09">
              <w:rPr>
                <w:rFonts w:cs="Helvetica-Bold"/>
                <w:b/>
                <w:bCs/>
                <w:color w:val="002060"/>
                <w:sz w:val="20"/>
                <w:szCs w:val="20"/>
              </w:rPr>
              <w:t>2.007</w:t>
            </w:r>
          </w:p>
        </w:tc>
        <w:tc>
          <w:tcPr>
            <w:tcW w:w="1417" w:type="dxa"/>
            <w:tcBorders>
              <w:top w:val="nil"/>
            </w:tcBorders>
          </w:tcPr>
          <w:p w:rsidR="00650325" w:rsidRPr="00861B09" w:rsidRDefault="003B6912" w:rsidP="00ED5398">
            <w:pPr>
              <w:autoSpaceDE w:val="0"/>
              <w:autoSpaceDN w:val="0"/>
              <w:adjustRightInd w:val="0"/>
              <w:spacing w:before="120" w:after="120"/>
              <w:ind w:left="0" w:firstLine="0"/>
              <w:jc w:val="right"/>
              <w:rPr>
                <w:rFonts w:cs="Helvetica-Bold"/>
                <w:b/>
                <w:bCs/>
                <w:color w:val="002060"/>
                <w:sz w:val="20"/>
                <w:szCs w:val="20"/>
              </w:rPr>
            </w:pPr>
            <w:r w:rsidRPr="00861B09">
              <w:rPr>
                <w:rFonts w:cs="Helvetica-Bold"/>
                <w:b/>
                <w:bCs/>
                <w:color w:val="002060"/>
                <w:sz w:val="20"/>
                <w:szCs w:val="20"/>
              </w:rPr>
              <w:t>2.048</w:t>
            </w:r>
          </w:p>
        </w:tc>
      </w:tr>
      <w:tr w:rsidR="00650325" w:rsidRPr="00861B09" w:rsidTr="008C73BD">
        <w:trPr>
          <w:jc w:val="center"/>
        </w:trPr>
        <w:tc>
          <w:tcPr>
            <w:tcW w:w="4493" w:type="dxa"/>
          </w:tcPr>
          <w:p w:rsidR="003B6912" w:rsidRPr="00861B09" w:rsidRDefault="003B6912"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Total du bilan</w:t>
            </w:r>
          </w:p>
          <w:p w:rsidR="00650325" w:rsidRPr="00861B09" w:rsidRDefault="003B6912" w:rsidP="00ED5398">
            <w:pPr>
              <w:autoSpaceDE w:val="0"/>
              <w:autoSpaceDN w:val="0"/>
              <w:adjustRightInd w:val="0"/>
              <w:spacing w:after="120"/>
              <w:ind w:left="0" w:firstLine="0"/>
              <w:jc w:val="both"/>
              <w:rPr>
                <w:rFonts w:cs="Helvetica-Bold"/>
                <w:b/>
                <w:bCs/>
                <w:color w:val="002060"/>
                <w:sz w:val="20"/>
                <w:szCs w:val="20"/>
              </w:rPr>
            </w:pPr>
            <w:r w:rsidRPr="00861B09">
              <w:rPr>
                <w:rFonts w:cs="Helvetica"/>
                <w:color w:val="002060"/>
                <w:sz w:val="20"/>
                <w:szCs w:val="20"/>
              </w:rPr>
              <w:t>(y compris les EENE et engagements de crédit-bail)</w:t>
            </w:r>
          </w:p>
        </w:tc>
        <w:tc>
          <w:tcPr>
            <w:tcW w:w="1276" w:type="dxa"/>
            <w:vAlign w:val="center"/>
          </w:tcPr>
          <w:p w:rsidR="00650325" w:rsidRPr="00861B09" w:rsidRDefault="003B6912" w:rsidP="00ED5398">
            <w:pPr>
              <w:autoSpaceDE w:val="0"/>
              <w:autoSpaceDN w:val="0"/>
              <w:adjustRightInd w:val="0"/>
              <w:spacing w:after="120"/>
              <w:ind w:left="0" w:firstLine="0"/>
              <w:jc w:val="right"/>
              <w:rPr>
                <w:rFonts w:cs="Helvetica-Bold"/>
                <w:b/>
                <w:bCs/>
                <w:color w:val="002060"/>
                <w:sz w:val="20"/>
                <w:szCs w:val="20"/>
              </w:rPr>
            </w:pPr>
            <w:r w:rsidRPr="00861B09">
              <w:rPr>
                <w:rFonts w:cs="Helvetica-Bold"/>
                <w:b/>
                <w:bCs/>
                <w:color w:val="002060"/>
                <w:sz w:val="20"/>
                <w:szCs w:val="20"/>
              </w:rPr>
              <w:t>5.858</w:t>
            </w:r>
          </w:p>
        </w:tc>
        <w:tc>
          <w:tcPr>
            <w:tcW w:w="1418" w:type="dxa"/>
            <w:vAlign w:val="center"/>
          </w:tcPr>
          <w:p w:rsidR="00650325" w:rsidRPr="00861B09" w:rsidRDefault="003B6912" w:rsidP="00ED5398">
            <w:pPr>
              <w:autoSpaceDE w:val="0"/>
              <w:autoSpaceDN w:val="0"/>
              <w:adjustRightInd w:val="0"/>
              <w:spacing w:after="120"/>
              <w:ind w:left="0" w:firstLine="0"/>
              <w:jc w:val="right"/>
              <w:rPr>
                <w:rFonts w:cs="Helvetica-Bold"/>
                <w:b/>
                <w:bCs/>
                <w:color w:val="002060"/>
                <w:sz w:val="20"/>
                <w:szCs w:val="20"/>
              </w:rPr>
            </w:pPr>
            <w:r w:rsidRPr="00861B09">
              <w:rPr>
                <w:rFonts w:cs="Helvetica-Bold"/>
                <w:b/>
                <w:bCs/>
                <w:color w:val="002060"/>
                <w:sz w:val="20"/>
                <w:szCs w:val="20"/>
              </w:rPr>
              <w:t>5.550</w:t>
            </w:r>
          </w:p>
        </w:tc>
        <w:tc>
          <w:tcPr>
            <w:tcW w:w="1417" w:type="dxa"/>
            <w:vAlign w:val="center"/>
          </w:tcPr>
          <w:p w:rsidR="00650325" w:rsidRPr="00861B09" w:rsidRDefault="003B6912" w:rsidP="00ED5398">
            <w:pPr>
              <w:autoSpaceDE w:val="0"/>
              <w:autoSpaceDN w:val="0"/>
              <w:adjustRightInd w:val="0"/>
              <w:spacing w:after="120"/>
              <w:ind w:left="0" w:firstLine="0"/>
              <w:jc w:val="right"/>
              <w:rPr>
                <w:rFonts w:cs="Helvetica-Bold"/>
                <w:b/>
                <w:bCs/>
                <w:color w:val="002060"/>
                <w:sz w:val="20"/>
                <w:szCs w:val="20"/>
              </w:rPr>
            </w:pPr>
            <w:r w:rsidRPr="00861B09">
              <w:rPr>
                <w:rFonts w:cs="Helvetica-Bold"/>
                <w:b/>
                <w:bCs/>
                <w:color w:val="002060"/>
                <w:sz w:val="20"/>
                <w:szCs w:val="20"/>
              </w:rPr>
              <w:t>5.227</w:t>
            </w:r>
          </w:p>
        </w:tc>
      </w:tr>
      <w:tr w:rsidR="00650325" w:rsidRPr="00861B09" w:rsidTr="008C73BD">
        <w:trPr>
          <w:jc w:val="center"/>
        </w:trPr>
        <w:tc>
          <w:tcPr>
            <w:tcW w:w="4493" w:type="dxa"/>
          </w:tcPr>
          <w:p w:rsidR="00650325" w:rsidRPr="00861B09" w:rsidRDefault="003B6912" w:rsidP="00ED5398">
            <w:pPr>
              <w:autoSpaceDE w:val="0"/>
              <w:autoSpaceDN w:val="0"/>
              <w:adjustRightInd w:val="0"/>
              <w:spacing w:before="120" w:after="120"/>
              <w:ind w:left="0" w:firstLine="0"/>
              <w:jc w:val="both"/>
              <w:rPr>
                <w:rFonts w:cs="Helvetica-Bold"/>
                <w:b/>
                <w:bCs/>
                <w:color w:val="002060"/>
                <w:sz w:val="20"/>
                <w:szCs w:val="20"/>
              </w:rPr>
            </w:pPr>
            <w:r w:rsidRPr="00861B09">
              <w:rPr>
                <w:rFonts w:cs="Helvetica-Bold"/>
                <w:b/>
                <w:bCs/>
                <w:color w:val="002060"/>
                <w:sz w:val="20"/>
                <w:szCs w:val="20"/>
              </w:rPr>
              <w:t>Taux d’endettement en %</w:t>
            </w:r>
          </w:p>
        </w:tc>
        <w:tc>
          <w:tcPr>
            <w:tcW w:w="1276" w:type="dxa"/>
            <w:vAlign w:val="center"/>
          </w:tcPr>
          <w:p w:rsidR="00650325" w:rsidRPr="00861B09" w:rsidRDefault="003B6912" w:rsidP="00ED5398">
            <w:pPr>
              <w:autoSpaceDE w:val="0"/>
              <w:autoSpaceDN w:val="0"/>
              <w:adjustRightInd w:val="0"/>
              <w:spacing w:after="120"/>
              <w:ind w:left="0" w:firstLine="0"/>
              <w:jc w:val="center"/>
              <w:rPr>
                <w:rFonts w:cs="Helvetica-Bold"/>
                <w:b/>
                <w:bCs/>
                <w:color w:val="002060"/>
                <w:sz w:val="20"/>
                <w:szCs w:val="20"/>
              </w:rPr>
            </w:pPr>
            <w:r w:rsidRPr="00861B09">
              <w:rPr>
                <w:rFonts w:cs="Helvetica-Bold"/>
                <w:b/>
                <w:bCs/>
                <w:color w:val="002060"/>
                <w:sz w:val="20"/>
                <w:szCs w:val="20"/>
              </w:rPr>
              <w:t>40,71%</w:t>
            </w:r>
          </w:p>
        </w:tc>
        <w:tc>
          <w:tcPr>
            <w:tcW w:w="1418" w:type="dxa"/>
            <w:vAlign w:val="center"/>
          </w:tcPr>
          <w:p w:rsidR="00650325" w:rsidRPr="00861B09" w:rsidRDefault="003B6912" w:rsidP="00ED5398">
            <w:pPr>
              <w:autoSpaceDE w:val="0"/>
              <w:autoSpaceDN w:val="0"/>
              <w:adjustRightInd w:val="0"/>
              <w:spacing w:after="120"/>
              <w:ind w:left="0" w:firstLine="0"/>
              <w:jc w:val="center"/>
              <w:rPr>
                <w:rFonts w:cs="Helvetica-Bold"/>
                <w:b/>
                <w:bCs/>
                <w:color w:val="002060"/>
                <w:sz w:val="20"/>
                <w:szCs w:val="20"/>
              </w:rPr>
            </w:pPr>
            <w:r w:rsidRPr="00861B09">
              <w:rPr>
                <w:rFonts w:cs="Helvetica"/>
                <w:b/>
                <w:color w:val="002060"/>
                <w:sz w:val="20"/>
                <w:szCs w:val="20"/>
              </w:rPr>
              <w:t>36,16%</w:t>
            </w:r>
          </w:p>
        </w:tc>
        <w:tc>
          <w:tcPr>
            <w:tcW w:w="1417" w:type="dxa"/>
            <w:vAlign w:val="center"/>
          </w:tcPr>
          <w:p w:rsidR="00650325" w:rsidRPr="00861B09" w:rsidRDefault="003B6912" w:rsidP="00ED5398">
            <w:pPr>
              <w:autoSpaceDE w:val="0"/>
              <w:autoSpaceDN w:val="0"/>
              <w:adjustRightInd w:val="0"/>
              <w:spacing w:after="120"/>
              <w:ind w:left="0" w:firstLine="0"/>
              <w:jc w:val="center"/>
              <w:rPr>
                <w:rFonts w:cs="Helvetica-Bold"/>
                <w:b/>
                <w:bCs/>
                <w:color w:val="002060"/>
                <w:sz w:val="20"/>
                <w:szCs w:val="20"/>
              </w:rPr>
            </w:pPr>
            <w:r w:rsidRPr="00861B09">
              <w:rPr>
                <w:rFonts w:cs="Helvetica"/>
                <w:b/>
                <w:color w:val="002060"/>
                <w:sz w:val="20"/>
                <w:szCs w:val="20"/>
              </w:rPr>
              <w:t>39,18%</w:t>
            </w:r>
          </w:p>
        </w:tc>
      </w:tr>
    </w:tbl>
    <w:p w:rsidR="00B546CB" w:rsidRDefault="00F01473" w:rsidP="00F01473">
      <w:pPr>
        <w:autoSpaceDE w:val="0"/>
        <w:autoSpaceDN w:val="0"/>
        <w:adjustRightInd w:val="0"/>
        <w:spacing w:before="120" w:after="120"/>
        <w:ind w:left="284" w:firstLine="0"/>
        <w:jc w:val="both"/>
        <w:rPr>
          <w:rFonts w:eastAsia="Garamond-Book" w:cs="Garamond-Book"/>
          <w:color w:val="002060"/>
          <w:sz w:val="20"/>
          <w:szCs w:val="20"/>
        </w:rPr>
      </w:pPr>
      <w:r w:rsidRPr="00861B09">
        <w:rPr>
          <w:rFonts w:eastAsia="Garamond-Book" w:cs="Garamond-Book"/>
          <w:color w:val="002060"/>
          <w:sz w:val="20"/>
          <w:szCs w:val="20"/>
        </w:rPr>
        <w:t>Après</w:t>
      </w:r>
      <w:r w:rsidR="00B546CB" w:rsidRPr="00861B09">
        <w:rPr>
          <w:rFonts w:eastAsia="Garamond-Book" w:cs="Garamond-Book"/>
          <w:color w:val="002060"/>
          <w:sz w:val="20"/>
          <w:szCs w:val="20"/>
        </w:rPr>
        <w:t xml:space="preserve"> une </w:t>
      </w:r>
      <w:r w:rsidR="003B6912" w:rsidRPr="00861B09">
        <w:rPr>
          <w:rFonts w:eastAsia="Garamond-Book" w:cs="Garamond-Book"/>
          <w:color w:val="002060"/>
          <w:sz w:val="20"/>
          <w:szCs w:val="20"/>
        </w:rPr>
        <w:t>légère</w:t>
      </w:r>
      <w:r w:rsidR="00B546CB" w:rsidRPr="00861B09">
        <w:rPr>
          <w:rFonts w:eastAsia="Garamond-Book" w:cs="Garamond-Book"/>
          <w:color w:val="002060"/>
          <w:sz w:val="20"/>
          <w:szCs w:val="20"/>
        </w:rPr>
        <w:t xml:space="preserve"> </w:t>
      </w:r>
      <w:r w:rsidR="003B6912" w:rsidRPr="00861B09">
        <w:rPr>
          <w:rFonts w:eastAsia="Garamond-Book" w:cs="Garamond-Book"/>
          <w:color w:val="002060"/>
          <w:sz w:val="20"/>
          <w:szCs w:val="20"/>
        </w:rPr>
        <w:t>amélioration</w:t>
      </w:r>
      <w:r w:rsidR="00B546CB" w:rsidRPr="00861B09">
        <w:rPr>
          <w:rFonts w:eastAsia="Garamond-Book" w:cs="Garamond-Book"/>
          <w:color w:val="002060"/>
          <w:sz w:val="20"/>
          <w:szCs w:val="20"/>
        </w:rPr>
        <w:t xml:space="preserve"> en 2010, le taux d’endettement financier retrouve en 2011 un niveau proche de2009. Celui-ci est trop </w:t>
      </w:r>
      <w:r w:rsidR="003B6912" w:rsidRPr="00861B09">
        <w:rPr>
          <w:rFonts w:eastAsia="Garamond-Book" w:cs="Garamond-Book"/>
          <w:color w:val="002060"/>
          <w:sz w:val="20"/>
          <w:szCs w:val="20"/>
        </w:rPr>
        <w:t>élevé</w:t>
      </w:r>
      <w:r w:rsidR="00B546CB" w:rsidRPr="00861B09">
        <w:rPr>
          <w:rFonts w:eastAsia="Garamond-Book" w:cs="Garamond-Book"/>
          <w:color w:val="002060"/>
          <w:sz w:val="20"/>
          <w:szCs w:val="20"/>
        </w:rPr>
        <w:t xml:space="preserve"> selon les normes en vigueur et souligne le </w:t>
      </w:r>
      <w:r w:rsidR="003B6912" w:rsidRPr="00861B09">
        <w:rPr>
          <w:rFonts w:eastAsia="Garamond-Book" w:cs="Garamond-Book"/>
          <w:color w:val="002060"/>
          <w:sz w:val="20"/>
          <w:szCs w:val="20"/>
        </w:rPr>
        <w:t>degré</w:t>
      </w:r>
      <w:r w:rsidR="00B546CB" w:rsidRPr="00861B09">
        <w:rPr>
          <w:rFonts w:eastAsia="Garamond-Book" w:cs="Garamond-Book"/>
          <w:color w:val="002060"/>
          <w:sz w:val="20"/>
          <w:szCs w:val="20"/>
        </w:rPr>
        <w:t xml:space="preserve"> de </w:t>
      </w:r>
      <w:r w:rsidR="003B6912" w:rsidRPr="00861B09">
        <w:rPr>
          <w:rFonts w:eastAsia="Garamond-Book" w:cs="Garamond-Book"/>
          <w:color w:val="002060"/>
          <w:sz w:val="20"/>
          <w:szCs w:val="20"/>
        </w:rPr>
        <w:t>dépendance</w:t>
      </w:r>
      <w:r w:rsidR="00B546CB" w:rsidRPr="00861B09">
        <w:rPr>
          <w:rFonts w:eastAsia="Garamond-Book" w:cs="Garamond-Book"/>
          <w:color w:val="002060"/>
          <w:sz w:val="20"/>
          <w:szCs w:val="20"/>
        </w:rPr>
        <w:t xml:space="preserve"> de cette entreprise </w:t>
      </w:r>
      <w:r w:rsidR="002E3FD6" w:rsidRPr="00861B09">
        <w:rPr>
          <w:rFonts w:eastAsia="Garamond-Book" w:cs="Garamond-Book"/>
          <w:color w:val="002060"/>
          <w:sz w:val="20"/>
          <w:szCs w:val="20"/>
        </w:rPr>
        <w:t>à</w:t>
      </w:r>
      <w:r w:rsidR="00B546CB" w:rsidRPr="00861B09">
        <w:rPr>
          <w:rFonts w:eastAsia="Garamond-Book" w:cs="Garamond-Book"/>
          <w:color w:val="002060"/>
          <w:sz w:val="20"/>
          <w:szCs w:val="20"/>
        </w:rPr>
        <w:t xml:space="preserve"> l’</w:t>
      </w:r>
      <w:r w:rsidR="003B6912" w:rsidRPr="00861B09">
        <w:rPr>
          <w:rFonts w:eastAsia="Garamond-Book" w:cs="Garamond-Book"/>
          <w:color w:val="002060"/>
          <w:sz w:val="20"/>
          <w:szCs w:val="20"/>
        </w:rPr>
        <w:t>égard</w:t>
      </w:r>
      <w:r w:rsidR="00B546CB" w:rsidRPr="00861B09">
        <w:rPr>
          <w:rFonts w:eastAsia="Garamond-Book" w:cs="Garamond-Book"/>
          <w:color w:val="002060"/>
          <w:sz w:val="20"/>
          <w:szCs w:val="20"/>
        </w:rPr>
        <w:t xml:space="preserve"> de ces </w:t>
      </w:r>
      <w:r w:rsidR="003B6912" w:rsidRPr="00861B09">
        <w:rPr>
          <w:rFonts w:eastAsia="Garamond-Book" w:cs="Garamond-Book"/>
          <w:color w:val="002060"/>
          <w:sz w:val="20"/>
          <w:szCs w:val="20"/>
        </w:rPr>
        <w:t>créanciers</w:t>
      </w:r>
      <w:r w:rsidR="00B546CB" w:rsidRPr="00861B09">
        <w:rPr>
          <w:rFonts w:eastAsia="Garamond-Book" w:cs="Garamond-Book"/>
          <w:color w:val="002060"/>
          <w:sz w:val="20"/>
          <w:szCs w:val="20"/>
        </w:rPr>
        <w:t xml:space="preserve"> financiers (les banques dans le cas de la CIPA).</w:t>
      </w:r>
    </w:p>
    <w:p w:rsidR="00B546CB" w:rsidRPr="005461AB" w:rsidRDefault="00B546CB" w:rsidP="00C7419C">
      <w:pPr>
        <w:pStyle w:val="Paragraphedeliste"/>
        <w:numPr>
          <w:ilvl w:val="0"/>
          <w:numId w:val="2"/>
        </w:numPr>
        <w:autoSpaceDE w:val="0"/>
        <w:autoSpaceDN w:val="0"/>
        <w:adjustRightInd w:val="0"/>
        <w:ind w:left="170" w:hanging="170"/>
        <w:jc w:val="both"/>
        <w:rPr>
          <w:rFonts w:cs="Helvetica-Condensed-Black"/>
          <w:b/>
          <w:color w:val="002060"/>
          <w:sz w:val="20"/>
          <w:szCs w:val="40"/>
        </w:rPr>
      </w:pPr>
      <w:r w:rsidRPr="005461AB">
        <w:rPr>
          <w:rFonts w:cs="Helvetica-Condensed-Black"/>
          <w:b/>
          <w:color w:val="002060"/>
          <w:sz w:val="20"/>
          <w:szCs w:val="40"/>
        </w:rPr>
        <w:lastRenderedPageBreak/>
        <w:t>Structure interne de l’endettement</w:t>
      </w:r>
    </w:p>
    <w:p w:rsidR="00B546CB" w:rsidRDefault="00B546CB"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L’analyse de la composition de l’endettement</w:t>
      </w:r>
      <w:r w:rsidR="003B6912" w:rsidRPr="00861B09">
        <w:rPr>
          <w:rFonts w:eastAsia="Garamond-Book" w:cs="Garamond-Book"/>
          <w:color w:val="002060"/>
          <w:sz w:val="20"/>
          <w:szCs w:val="20"/>
        </w:rPr>
        <w:t xml:space="preserve"> </w:t>
      </w:r>
      <w:r w:rsidRPr="00861B09">
        <w:rPr>
          <w:rFonts w:eastAsia="Garamond-Book" w:cs="Garamond-Book"/>
          <w:color w:val="002060"/>
          <w:sz w:val="20"/>
          <w:szCs w:val="20"/>
        </w:rPr>
        <w:t xml:space="preserve">apporte un </w:t>
      </w:r>
      <w:r w:rsidR="003B6912" w:rsidRPr="00861B09">
        <w:rPr>
          <w:rFonts w:eastAsia="Garamond-Book" w:cs="Garamond-Book"/>
          <w:color w:val="002060"/>
          <w:sz w:val="20"/>
          <w:szCs w:val="20"/>
        </w:rPr>
        <w:t>éclairage</w:t>
      </w:r>
      <w:r w:rsidRPr="00861B09">
        <w:rPr>
          <w:rFonts w:eastAsia="Garamond-Book" w:cs="Garamond-Book"/>
          <w:color w:val="002060"/>
          <w:sz w:val="20"/>
          <w:szCs w:val="20"/>
        </w:rPr>
        <w:t xml:space="preserve"> </w:t>
      </w:r>
      <w:r w:rsidR="003B6912" w:rsidRPr="00861B09">
        <w:rPr>
          <w:rFonts w:eastAsia="Garamond-Book" w:cs="Garamond-Book"/>
          <w:color w:val="002060"/>
          <w:sz w:val="20"/>
          <w:szCs w:val="20"/>
        </w:rPr>
        <w:t>complémentaire</w:t>
      </w:r>
      <w:r w:rsidRPr="00861B09">
        <w:rPr>
          <w:rFonts w:eastAsia="Garamond-Book" w:cs="Garamond-Book"/>
          <w:color w:val="002060"/>
          <w:sz w:val="20"/>
          <w:szCs w:val="20"/>
        </w:rPr>
        <w:t>.</w:t>
      </w:r>
      <w:r w:rsidR="003B6912" w:rsidRPr="00861B09">
        <w:rPr>
          <w:rFonts w:eastAsia="Garamond-Book" w:cs="Garamond-Book"/>
          <w:color w:val="002060"/>
          <w:sz w:val="20"/>
          <w:szCs w:val="20"/>
        </w:rPr>
        <w:t xml:space="preserve"> </w:t>
      </w:r>
      <w:r w:rsidRPr="00861B09">
        <w:rPr>
          <w:rFonts w:eastAsia="Garamond-Book" w:cs="Garamond-Book"/>
          <w:color w:val="002060"/>
          <w:sz w:val="20"/>
          <w:szCs w:val="20"/>
        </w:rPr>
        <w:t xml:space="preserve">La </w:t>
      </w:r>
      <w:r w:rsidR="003B6912" w:rsidRPr="00861B09">
        <w:rPr>
          <w:rFonts w:eastAsia="Garamond-Book" w:cs="Garamond-Book"/>
          <w:color w:val="002060"/>
          <w:sz w:val="20"/>
          <w:szCs w:val="20"/>
        </w:rPr>
        <w:t>décomposition</w:t>
      </w:r>
      <w:r w:rsidRPr="00861B09">
        <w:rPr>
          <w:rFonts w:eastAsia="Garamond-Book" w:cs="Garamond-Book"/>
          <w:color w:val="002060"/>
          <w:sz w:val="20"/>
          <w:szCs w:val="20"/>
        </w:rPr>
        <w:t xml:space="preserve"> endettement </w:t>
      </w:r>
      <w:r w:rsidR="002E3FD6" w:rsidRPr="00861B09">
        <w:rPr>
          <w:rFonts w:eastAsia="Garamond-Book" w:cs="Garamond-Book"/>
          <w:color w:val="002060"/>
          <w:sz w:val="20"/>
          <w:szCs w:val="20"/>
        </w:rPr>
        <w:t>à</w:t>
      </w:r>
      <w:r w:rsidRPr="00861B09">
        <w:rPr>
          <w:rFonts w:eastAsia="Garamond-Book" w:cs="Garamond-Book"/>
          <w:color w:val="002060"/>
          <w:sz w:val="20"/>
          <w:szCs w:val="20"/>
        </w:rPr>
        <w:t xml:space="preserve"> long terme</w:t>
      </w:r>
      <w:r w:rsidR="003B6912" w:rsidRPr="00861B09">
        <w:rPr>
          <w:rFonts w:eastAsia="Garamond-Book" w:cs="Garamond-Book"/>
          <w:color w:val="002060"/>
          <w:sz w:val="20"/>
          <w:szCs w:val="20"/>
        </w:rPr>
        <w:t xml:space="preserve"> </w:t>
      </w:r>
      <w:r w:rsidRPr="00861B09">
        <w:rPr>
          <w:rFonts w:eastAsia="Garamond-Book" w:cs="Garamond-Book"/>
          <w:color w:val="002060"/>
          <w:sz w:val="20"/>
          <w:szCs w:val="20"/>
        </w:rPr>
        <w:t xml:space="preserve">et endettement </w:t>
      </w:r>
      <w:r w:rsidR="000C4BD6" w:rsidRPr="00861B09">
        <w:rPr>
          <w:rFonts w:eastAsia="Garamond-Book" w:cs="Garamond-Book"/>
          <w:color w:val="002060"/>
          <w:sz w:val="20"/>
          <w:szCs w:val="20"/>
        </w:rPr>
        <w:t>à</w:t>
      </w:r>
      <w:r w:rsidRPr="00861B09">
        <w:rPr>
          <w:rFonts w:eastAsia="Garamond-Book" w:cs="Garamond-Book"/>
          <w:color w:val="002060"/>
          <w:sz w:val="20"/>
          <w:szCs w:val="20"/>
        </w:rPr>
        <w:t xml:space="preserve"> court terme </w:t>
      </w:r>
      <w:r w:rsidR="003B6912" w:rsidRPr="00861B09">
        <w:rPr>
          <w:rFonts w:eastAsia="Garamond-Book" w:cs="Garamond-Book"/>
          <w:color w:val="002060"/>
          <w:sz w:val="20"/>
          <w:szCs w:val="20"/>
        </w:rPr>
        <w:t>débouche</w:t>
      </w:r>
      <w:r w:rsidRPr="00861B09">
        <w:rPr>
          <w:rFonts w:eastAsia="Garamond-Book" w:cs="Garamond-Book"/>
          <w:color w:val="002060"/>
          <w:sz w:val="20"/>
          <w:szCs w:val="20"/>
        </w:rPr>
        <w:t xml:space="preserve"> sur</w:t>
      </w:r>
      <w:r w:rsidR="003B6912" w:rsidRPr="00861B09">
        <w:rPr>
          <w:rFonts w:eastAsia="Garamond-Book" w:cs="Garamond-Book"/>
          <w:color w:val="002060"/>
          <w:sz w:val="20"/>
          <w:szCs w:val="20"/>
        </w:rPr>
        <w:t xml:space="preserve"> </w:t>
      </w:r>
      <w:r w:rsidRPr="00861B09">
        <w:rPr>
          <w:rFonts w:eastAsia="Garamond-Book" w:cs="Garamond-Book"/>
          <w:color w:val="002060"/>
          <w:sz w:val="20"/>
          <w:szCs w:val="20"/>
        </w:rPr>
        <w:t xml:space="preserve">une </w:t>
      </w:r>
      <w:r w:rsidR="003B6912" w:rsidRPr="00861B09">
        <w:rPr>
          <w:rFonts w:eastAsia="Garamond-Book" w:cs="Garamond-Book"/>
          <w:color w:val="002060"/>
          <w:sz w:val="20"/>
          <w:szCs w:val="20"/>
        </w:rPr>
        <w:t>appréciation</w:t>
      </w:r>
      <w:r w:rsidRPr="00861B09">
        <w:rPr>
          <w:rFonts w:eastAsia="Garamond-Book" w:cs="Garamond-Book"/>
          <w:color w:val="002060"/>
          <w:sz w:val="20"/>
          <w:szCs w:val="20"/>
        </w:rPr>
        <w:t xml:space="preserve"> de la </w:t>
      </w:r>
      <w:r w:rsidR="003B6912" w:rsidRPr="00861B09">
        <w:rPr>
          <w:rFonts w:eastAsia="Garamond-Book" w:cs="Garamond-Book"/>
          <w:color w:val="002060"/>
          <w:sz w:val="20"/>
          <w:szCs w:val="20"/>
        </w:rPr>
        <w:t>stabilité</w:t>
      </w:r>
      <w:r w:rsidRPr="00861B09">
        <w:rPr>
          <w:rFonts w:eastAsia="Garamond-Book" w:cs="Garamond-Book"/>
          <w:color w:val="002060"/>
          <w:sz w:val="20"/>
          <w:szCs w:val="20"/>
        </w:rPr>
        <w:t xml:space="preserve"> de l’endettement</w:t>
      </w:r>
      <w:r w:rsidR="003B6912" w:rsidRPr="00861B09">
        <w:rPr>
          <w:rFonts w:eastAsia="Garamond-Book" w:cs="Garamond-Book"/>
          <w:color w:val="002060"/>
          <w:sz w:val="20"/>
          <w:szCs w:val="20"/>
        </w:rPr>
        <w:t xml:space="preserve"> </w:t>
      </w:r>
      <w:r w:rsidRPr="00861B09">
        <w:rPr>
          <w:rFonts w:eastAsia="Garamond-Book" w:cs="Garamond-Book"/>
          <w:color w:val="002060"/>
          <w:sz w:val="20"/>
          <w:szCs w:val="20"/>
        </w:rPr>
        <w:t xml:space="preserve">et sur la </w:t>
      </w:r>
      <w:r w:rsidR="003B6912" w:rsidRPr="00861B09">
        <w:rPr>
          <w:rFonts w:eastAsia="Garamond-Book" w:cs="Garamond-Book"/>
          <w:color w:val="002060"/>
          <w:sz w:val="20"/>
          <w:szCs w:val="20"/>
        </w:rPr>
        <w:t>capacité</w:t>
      </w:r>
      <w:r w:rsidRPr="00861B09">
        <w:rPr>
          <w:rFonts w:eastAsia="Garamond-Book" w:cs="Garamond-Book"/>
          <w:color w:val="002060"/>
          <w:sz w:val="20"/>
          <w:szCs w:val="20"/>
        </w:rPr>
        <w:t xml:space="preserve"> de l’entreprise </w:t>
      </w:r>
      <w:r w:rsidR="003B6912" w:rsidRPr="00861B09">
        <w:rPr>
          <w:rFonts w:eastAsia="Garamond-Book" w:cs="Garamond-Book"/>
          <w:color w:val="002060"/>
          <w:sz w:val="20"/>
          <w:szCs w:val="20"/>
        </w:rPr>
        <w:t>à négocier</w:t>
      </w:r>
      <w:r w:rsidRPr="00861B09">
        <w:rPr>
          <w:rFonts w:eastAsia="Garamond-Book" w:cs="Garamond-Book"/>
          <w:color w:val="002060"/>
          <w:sz w:val="20"/>
          <w:szCs w:val="20"/>
        </w:rPr>
        <w:t xml:space="preserve"> avec ses </w:t>
      </w:r>
      <w:r w:rsidR="003B6912" w:rsidRPr="00861B09">
        <w:rPr>
          <w:rFonts w:eastAsia="Garamond-Book" w:cs="Garamond-Book"/>
          <w:color w:val="002060"/>
          <w:sz w:val="20"/>
          <w:szCs w:val="20"/>
        </w:rPr>
        <w:t>créanciers</w:t>
      </w:r>
      <w:r w:rsidRPr="00861B09">
        <w:rPr>
          <w:rFonts w:eastAsia="Garamond-Book" w:cs="Garamond-Book"/>
          <w:color w:val="002060"/>
          <w:sz w:val="20"/>
          <w:szCs w:val="20"/>
        </w:rPr>
        <w:t xml:space="preserve"> financiers,</w:t>
      </w:r>
      <w:r w:rsidR="003B6912" w:rsidRPr="00861B09">
        <w:rPr>
          <w:rFonts w:eastAsia="Garamond-Book" w:cs="Garamond-Book"/>
          <w:color w:val="002060"/>
          <w:sz w:val="20"/>
          <w:szCs w:val="20"/>
        </w:rPr>
        <w:t xml:space="preserve"> </w:t>
      </w:r>
      <w:r w:rsidRPr="00861B09">
        <w:rPr>
          <w:rFonts w:eastAsia="Garamond-Book" w:cs="Garamond-Book"/>
          <w:color w:val="002060"/>
          <w:sz w:val="20"/>
          <w:szCs w:val="20"/>
        </w:rPr>
        <w:t>principalement les banquiers.</w:t>
      </w:r>
    </w:p>
    <w:p w:rsidR="00B546CB" w:rsidRPr="00861B09" w:rsidRDefault="00B546CB" w:rsidP="001027BF">
      <w:pPr>
        <w:autoSpaceDE w:val="0"/>
        <w:autoSpaceDN w:val="0"/>
        <w:adjustRightInd w:val="0"/>
        <w:spacing w:after="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La </w:t>
      </w:r>
      <w:r w:rsidR="003B6912" w:rsidRPr="00861B09">
        <w:rPr>
          <w:rFonts w:eastAsia="Garamond-Book" w:cs="Garamond-Book"/>
          <w:color w:val="002060"/>
          <w:sz w:val="20"/>
          <w:szCs w:val="20"/>
        </w:rPr>
        <w:t>stabilité</w:t>
      </w:r>
      <w:r w:rsidRPr="00861B09">
        <w:rPr>
          <w:rFonts w:eastAsia="Garamond-Book" w:cs="Garamond-Book"/>
          <w:color w:val="002060"/>
          <w:sz w:val="20"/>
          <w:szCs w:val="20"/>
        </w:rPr>
        <w:t xml:space="preserve"> du financement repose sur sa</w:t>
      </w:r>
      <w:r w:rsidR="003B6912" w:rsidRPr="00861B09">
        <w:rPr>
          <w:rFonts w:eastAsia="Garamond-Book" w:cs="Garamond-Book"/>
          <w:color w:val="002060"/>
          <w:sz w:val="20"/>
          <w:szCs w:val="20"/>
        </w:rPr>
        <w:t xml:space="preserve"> décomposition</w:t>
      </w:r>
      <w:r w:rsidRPr="00861B09">
        <w:rPr>
          <w:rFonts w:eastAsia="Garamond-Book" w:cs="Garamond-Book"/>
          <w:color w:val="002060"/>
          <w:sz w:val="20"/>
          <w:szCs w:val="20"/>
        </w:rPr>
        <w:t xml:space="preserve"> selon le </w:t>
      </w:r>
      <w:r w:rsidR="003B6912" w:rsidRPr="00861B09">
        <w:rPr>
          <w:rFonts w:eastAsia="Garamond-Book" w:cs="Garamond-Book"/>
          <w:color w:val="002060"/>
          <w:sz w:val="20"/>
          <w:szCs w:val="20"/>
        </w:rPr>
        <w:t>schéma</w:t>
      </w:r>
      <w:r w:rsidRPr="00861B09">
        <w:rPr>
          <w:rFonts w:eastAsia="Garamond-Book" w:cs="Garamond-Book"/>
          <w:color w:val="002060"/>
          <w:sz w:val="20"/>
          <w:szCs w:val="20"/>
        </w:rPr>
        <w:t xml:space="preserve"> ci-</w:t>
      </w:r>
      <w:r w:rsidR="009D2C93" w:rsidRPr="00861B09">
        <w:rPr>
          <w:rFonts w:eastAsia="Garamond-Book" w:cs="Garamond-Book"/>
          <w:color w:val="002060"/>
          <w:sz w:val="20"/>
          <w:szCs w:val="20"/>
        </w:rPr>
        <w:t>dessous</w:t>
      </w:r>
      <w:r w:rsidRPr="00861B09">
        <w:rPr>
          <w:rFonts w:eastAsia="Garamond-Book" w:cs="Garamond-Book"/>
          <w:color w:val="002060"/>
          <w:sz w:val="20"/>
          <w:szCs w:val="20"/>
        </w:rPr>
        <w:t>.</w:t>
      </w:r>
    </w:p>
    <w:p w:rsidR="003B6912" w:rsidRPr="00085358" w:rsidRDefault="004979A7" w:rsidP="00ED5398">
      <w:pPr>
        <w:autoSpaceDE w:val="0"/>
        <w:autoSpaceDN w:val="0"/>
        <w:adjustRightInd w:val="0"/>
        <w:spacing w:after="120"/>
        <w:ind w:left="0" w:firstLine="0"/>
        <w:jc w:val="both"/>
        <w:rPr>
          <w:rFonts w:eastAsia="Garamond-Book" w:cs="Garamond-Book"/>
          <w:color w:val="7030A0"/>
          <w:sz w:val="20"/>
          <w:szCs w:val="20"/>
        </w:rPr>
      </w:pPr>
      <w:r w:rsidRPr="00085358">
        <w:rPr>
          <w:rFonts w:eastAsia="Garamond-Book" w:cs="Garamond-Book"/>
          <w:noProof/>
          <w:color w:val="7030A0"/>
          <w:sz w:val="20"/>
          <w:szCs w:val="20"/>
          <w:lang w:eastAsia="fr-FR"/>
        </w:rPr>
        <mc:AlternateContent>
          <mc:Choice Requires="wps">
            <w:drawing>
              <wp:anchor distT="0" distB="0" distL="114300" distR="114300" simplePos="0" relativeHeight="251656192" behindDoc="0" locked="0" layoutInCell="1" allowOverlap="1">
                <wp:simplePos x="0" y="0"/>
                <wp:positionH relativeFrom="column">
                  <wp:posOffset>149860</wp:posOffset>
                </wp:positionH>
                <wp:positionV relativeFrom="paragraph">
                  <wp:posOffset>93345</wp:posOffset>
                </wp:positionV>
                <wp:extent cx="1586865" cy="1674495"/>
                <wp:effectExtent l="23495" t="26670" r="37465" b="514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67449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11306F" w:rsidRPr="008C73BD" w:rsidRDefault="0011306F" w:rsidP="009D2C93">
                            <w:pPr>
                              <w:spacing w:before="120" w:after="120"/>
                              <w:ind w:left="0" w:firstLine="0"/>
                              <w:jc w:val="center"/>
                              <w:rPr>
                                <w:b/>
                                <w:color w:val="FFFFFF"/>
                                <w:sz w:val="28"/>
                              </w:rPr>
                            </w:pPr>
                          </w:p>
                          <w:p w:rsidR="0011306F" w:rsidRPr="008C73BD" w:rsidRDefault="0011306F" w:rsidP="009D2C93">
                            <w:pPr>
                              <w:spacing w:before="120" w:after="120"/>
                              <w:ind w:left="0" w:firstLine="0"/>
                              <w:jc w:val="center"/>
                              <w:rPr>
                                <w:b/>
                                <w:color w:val="FFFFFF"/>
                                <w:sz w:val="28"/>
                              </w:rPr>
                            </w:pPr>
                          </w:p>
                          <w:p w:rsidR="0011306F" w:rsidRPr="008C73BD" w:rsidRDefault="0011306F" w:rsidP="009D2C93">
                            <w:pPr>
                              <w:spacing w:before="120" w:after="120"/>
                              <w:ind w:left="0" w:firstLine="0"/>
                              <w:jc w:val="center"/>
                              <w:rPr>
                                <w:b/>
                                <w:color w:val="FFFFFF"/>
                                <w:sz w:val="28"/>
                              </w:rPr>
                            </w:pPr>
                            <w:r w:rsidRPr="008C73BD">
                              <w:rPr>
                                <w:b/>
                                <w:color w:val="FFFFFF"/>
                                <w:sz w:val="28"/>
                              </w:rPr>
                              <w:t>Actifs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o:spid="_x0000_s1026" style="position:absolute;left:0;text-align:left;margin-left:11.8pt;margin-top:7.35pt;width:124.95pt;height:1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" fillcolor="#4f81bd" strokecolor="#f2f2f2" strokeweight="3pt">
                <v:shadow on="t" color="#243f60" opacity=".5" offset="1pt"/>
                <v:textbox>
                  <w:txbxContent>
                    <w:p w:rsidR="0011306F" w:rsidRPr="008C73BD" w:rsidRDefault="0011306F" w:rsidP="009D2C93">
                      <w:pPr>
                        <w:spacing w:before="120" w:after="120"/>
                        <w:ind w:left="0" w:firstLine="0"/>
                        <w:jc w:val="center"/>
                        <w:rPr>
                          <w:b/>
                          <w:color w:val="FFFFFF"/>
                          <w:sz w:val="28"/>
                        </w:rPr>
                      </w:pPr>
                    </w:p>
                    <w:p w:rsidR="0011306F" w:rsidRPr="008C73BD" w:rsidRDefault="0011306F" w:rsidP="009D2C93">
                      <w:pPr>
                        <w:spacing w:before="120" w:after="120"/>
                        <w:ind w:left="0" w:firstLine="0"/>
                        <w:jc w:val="center"/>
                        <w:rPr>
                          <w:b/>
                          <w:color w:val="FFFFFF"/>
                          <w:sz w:val="28"/>
                        </w:rPr>
                      </w:pPr>
                    </w:p>
                    <w:p w:rsidR="0011306F" w:rsidRPr="008C73BD" w:rsidRDefault="0011306F" w:rsidP="009D2C93">
                      <w:pPr>
                        <w:spacing w:before="120" w:after="120"/>
                        <w:ind w:left="0" w:firstLine="0"/>
                        <w:jc w:val="center"/>
                        <w:rPr>
                          <w:b/>
                          <w:color w:val="FFFFFF"/>
                          <w:sz w:val="28"/>
                        </w:rPr>
                      </w:pPr>
                      <w:r w:rsidRPr="008C73BD">
                        <w:rPr>
                          <w:b/>
                          <w:color w:val="FFFFFF"/>
                          <w:sz w:val="28"/>
                        </w:rPr>
                        <w:t>Actifs</w:t>
                      </w:r>
                    </w:p>
                  </w:txbxContent>
                </v:textbox>
              </v:rect>
            </w:pict>
          </mc:Fallback>
        </mc:AlternateContent>
      </w:r>
      <w:r w:rsidRPr="00085358">
        <w:rPr>
          <w:rFonts w:eastAsia="Garamond-Book" w:cs="Garamond-Book"/>
          <w:noProof/>
          <w:color w:val="7030A0"/>
          <w:sz w:val="20"/>
          <w:szCs w:val="20"/>
          <w:lang w:eastAsia="fr-FR"/>
        </w:rPr>
        <mc:AlternateContent>
          <mc:Choice Requires="wps">
            <w:drawing>
              <wp:anchor distT="0" distB="0" distL="114300" distR="114300" simplePos="0" relativeHeight="251657216" behindDoc="0" locked="0" layoutInCell="1" allowOverlap="1">
                <wp:simplePos x="0" y="0"/>
                <wp:positionH relativeFrom="column">
                  <wp:posOffset>2056130</wp:posOffset>
                </wp:positionH>
                <wp:positionV relativeFrom="paragraph">
                  <wp:posOffset>93345</wp:posOffset>
                </wp:positionV>
                <wp:extent cx="1207770" cy="466090"/>
                <wp:effectExtent l="24765" t="26670" r="34290" b="501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6609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11306F" w:rsidRPr="009D2C93" w:rsidRDefault="0011306F" w:rsidP="009D2C93">
                            <w:pPr>
                              <w:spacing w:before="120" w:after="120"/>
                              <w:ind w:left="0" w:firstLine="0"/>
                              <w:jc w:val="center"/>
                              <w:rPr>
                                <w:b/>
                              </w:rPr>
                            </w:pPr>
                            <w:r w:rsidRPr="009D2C93">
                              <w:rPr>
                                <w:b/>
                              </w:rPr>
                              <w:t>Fonds propres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o:spid="_x0000_s1027" style="position:absolute;left:0;text-align:left;margin-left:161.9pt;margin-top:7.35pt;width:95.1pt;height:3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" fillcolor="#9bbb59" strokecolor="#f2f2f2" strokeweight="3pt">
                <v:shadow on="t" color="#4e6128" opacity=".5" offset="1pt"/>
                <v:textbox>
                  <w:txbxContent>
                    <w:p w:rsidR="0011306F" w:rsidRPr="009D2C93" w:rsidRDefault="0011306F" w:rsidP="009D2C93">
                      <w:pPr>
                        <w:spacing w:before="120" w:after="120"/>
                        <w:ind w:left="0" w:firstLine="0"/>
                        <w:jc w:val="center"/>
                        <w:rPr>
                          <w:b/>
                        </w:rPr>
                      </w:pPr>
                      <w:r w:rsidRPr="009D2C93">
                        <w:rPr>
                          <w:b/>
                        </w:rPr>
                        <w:t>Fonds propres</w:t>
                      </w:r>
                    </w:p>
                  </w:txbxContent>
                </v:textbox>
              </v:rect>
            </w:pict>
          </mc:Fallback>
        </mc:AlternateContent>
      </w:r>
    </w:p>
    <w:p w:rsidR="003B6912" w:rsidRPr="00085358" w:rsidRDefault="003B6912" w:rsidP="00ED5398">
      <w:pPr>
        <w:autoSpaceDE w:val="0"/>
        <w:autoSpaceDN w:val="0"/>
        <w:adjustRightInd w:val="0"/>
        <w:spacing w:after="120"/>
        <w:ind w:left="0" w:firstLine="0"/>
        <w:jc w:val="both"/>
        <w:rPr>
          <w:rFonts w:eastAsia="Garamond-Book" w:cs="Garamond-Book"/>
          <w:color w:val="7030A0"/>
          <w:sz w:val="20"/>
          <w:szCs w:val="20"/>
        </w:rPr>
      </w:pPr>
    </w:p>
    <w:p w:rsidR="003B6912" w:rsidRPr="00085358" w:rsidRDefault="004979A7" w:rsidP="00ED5398">
      <w:pPr>
        <w:autoSpaceDE w:val="0"/>
        <w:autoSpaceDN w:val="0"/>
        <w:adjustRightInd w:val="0"/>
        <w:spacing w:after="120"/>
        <w:ind w:left="0" w:firstLine="0"/>
        <w:jc w:val="both"/>
        <w:rPr>
          <w:rFonts w:eastAsia="Garamond-Book" w:cs="Garamond-Book"/>
          <w:color w:val="7030A0"/>
          <w:sz w:val="20"/>
          <w:szCs w:val="20"/>
        </w:rPr>
      </w:pPr>
      <w:r w:rsidRPr="00085358">
        <w:rPr>
          <w:rFonts w:eastAsia="Garamond-Book" w:cs="Garamond-Book"/>
          <w:noProof/>
          <w:color w:val="7030A0"/>
          <w:sz w:val="20"/>
          <w:szCs w:val="20"/>
          <w:lang w:eastAsia="fr-FR"/>
        </w:rPr>
        <mc:AlternateContent>
          <mc:Choice Requires="wps">
            <w:drawing>
              <wp:anchor distT="0" distB="0" distL="114300" distR="114300" simplePos="0" relativeHeight="251658240" behindDoc="0" locked="0" layoutInCell="1" allowOverlap="1">
                <wp:simplePos x="0" y="0"/>
                <wp:positionH relativeFrom="column">
                  <wp:posOffset>2056130</wp:posOffset>
                </wp:positionH>
                <wp:positionV relativeFrom="paragraph">
                  <wp:posOffset>205740</wp:posOffset>
                </wp:positionV>
                <wp:extent cx="1207770" cy="466090"/>
                <wp:effectExtent l="24765" t="20320" r="34290" b="4699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6609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1306F" w:rsidRPr="009D2C93" w:rsidRDefault="0011306F" w:rsidP="009D2C93">
                            <w:pPr>
                              <w:ind w:left="0" w:firstLine="0"/>
                              <w:jc w:val="center"/>
                              <w:rPr>
                                <w:b/>
                              </w:rPr>
                            </w:pPr>
                            <w:r w:rsidRPr="009D2C93">
                              <w:rPr>
                                <w:b/>
                              </w:rPr>
                              <w:t>Dettes à long et moyen terme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o:spid="_x0000_s1028" style="position:absolute;left:0;text-align:left;margin-left:161.9pt;margin-top:16.2pt;width:95.1pt;height:3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" fillcolor="#f79646" strokecolor="#f2f2f2" strokeweight="3pt">
                <v:shadow on="t" color="#974706" opacity=".5" offset="1pt"/>
                <v:textbox>
                  <w:txbxContent>
                    <w:p w:rsidR="0011306F" w:rsidRPr="009D2C93" w:rsidRDefault="0011306F" w:rsidP="009D2C93">
                      <w:pPr>
                        <w:ind w:left="0" w:firstLine="0"/>
                        <w:jc w:val="center"/>
                        <w:rPr>
                          <w:b/>
                        </w:rPr>
                      </w:pPr>
                      <w:r w:rsidRPr="009D2C93">
                        <w:rPr>
                          <w:b/>
                        </w:rPr>
                        <w:t>Dettes à long et moyen terme</w:t>
                      </w:r>
                    </w:p>
                  </w:txbxContent>
                </v:textbox>
              </v:rect>
            </w:pict>
          </mc:Fallback>
        </mc:AlternateContent>
      </w:r>
    </w:p>
    <w:p w:rsidR="003B6912" w:rsidRPr="00085358" w:rsidRDefault="003B6912" w:rsidP="00ED5398">
      <w:pPr>
        <w:autoSpaceDE w:val="0"/>
        <w:autoSpaceDN w:val="0"/>
        <w:adjustRightInd w:val="0"/>
        <w:spacing w:after="120"/>
        <w:ind w:left="0" w:firstLine="0"/>
        <w:jc w:val="both"/>
        <w:rPr>
          <w:rFonts w:eastAsia="Garamond-Book" w:cs="Garamond-Book"/>
          <w:color w:val="7030A0"/>
          <w:sz w:val="20"/>
          <w:szCs w:val="20"/>
        </w:rPr>
      </w:pPr>
    </w:p>
    <w:p w:rsidR="003B6912" w:rsidRPr="00085358" w:rsidRDefault="003B6912" w:rsidP="00ED5398">
      <w:pPr>
        <w:autoSpaceDE w:val="0"/>
        <w:autoSpaceDN w:val="0"/>
        <w:adjustRightInd w:val="0"/>
        <w:spacing w:after="120"/>
        <w:ind w:left="0" w:firstLine="0"/>
        <w:jc w:val="both"/>
        <w:rPr>
          <w:rFonts w:eastAsia="Garamond-Book" w:cs="Garamond-Book"/>
          <w:color w:val="7030A0"/>
          <w:sz w:val="20"/>
          <w:szCs w:val="20"/>
        </w:rPr>
      </w:pPr>
    </w:p>
    <w:p w:rsidR="003B6912" w:rsidRPr="00085358" w:rsidRDefault="004979A7" w:rsidP="00ED5398">
      <w:pPr>
        <w:autoSpaceDE w:val="0"/>
        <w:autoSpaceDN w:val="0"/>
        <w:adjustRightInd w:val="0"/>
        <w:spacing w:after="120"/>
        <w:ind w:left="0" w:firstLine="0"/>
        <w:jc w:val="both"/>
        <w:rPr>
          <w:rFonts w:eastAsia="Garamond-Book" w:cs="Garamond-Book"/>
          <w:color w:val="7030A0"/>
          <w:sz w:val="20"/>
          <w:szCs w:val="20"/>
        </w:rPr>
      </w:pPr>
      <w:r w:rsidRPr="00085358">
        <w:rPr>
          <w:rFonts w:eastAsia="Garamond-Book" w:cs="Garamond-Book"/>
          <w:noProof/>
          <w:color w:val="7030A0"/>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2056130</wp:posOffset>
                </wp:positionH>
                <wp:positionV relativeFrom="paragraph">
                  <wp:posOffset>145415</wp:posOffset>
                </wp:positionV>
                <wp:extent cx="1207770" cy="466090"/>
                <wp:effectExtent l="24765" t="25400" r="34290" b="514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660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11306F" w:rsidRPr="008C73BD" w:rsidRDefault="0011306F" w:rsidP="009D2C93">
                            <w:pPr>
                              <w:ind w:left="0" w:firstLine="0"/>
                              <w:jc w:val="center"/>
                              <w:rPr>
                                <w:b/>
                                <w:color w:val="FFFFFF"/>
                              </w:rPr>
                            </w:pPr>
                            <w:r w:rsidRPr="008C73BD">
                              <w:rPr>
                                <w:b/>
                                <w:color w:val="FFFFFF"/>
                              </w:rPr>
                              <w:t>Dettes à court terme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o:spid="_x0000_s1029" style="position:absolute;left:0;text-align:left;margin-left:161.9pt;margin-top:11.45pt;width:95.1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" fillcolor="#c0504d" strokecolor="#f2f2f2" strokeweight="3pt">
                <v:shadow on="t" color="#622423" opacity=".5" offset="1pt"/>
                <v:textbox>
                  <w:txbxContent>
                    <w:p w:rsidR="0011306F" w:rsidRPr="008C73BD" w:rsidRDefault="0011306F" w:rsidP="009D2C93">
                      <w:pPr>
                        <w:ind w:left="0" w:firstLine="0"/>
                        <w:jc w:val="center"/>
                        <w:rPr>
                          <w:b/>
                          <w:color w:val="FFFFFF"/>
                        </w:rPr>
                      </w:pPr>
                      <w:r w:rsidRPr="008C73BD">
                        <w:rPr>
                          <w:b/>
                          <w:color w:val="FFFFFF"/>
                        </w:rPr>
                        <w:t>Dettes à court terme</w:t>
                      </w:r>
                    </w:p>
                  </w:txbxContent>
                </v:textbox>
              </v:rect>
            </w:pict>
          </mc:Fallback>
        </mc:AlternateContent>
      </w:r>
    </w:p>
    <w:p w:rsidR="003B6912" w:rsidRPr="00085358" w:rsidRDefault="003B6912" w:rsidP="00ED5398">
      <w:pPr>
        <w:autoSpaceDE w:val="0"/>
        <w:autoSpaceDN w:val="0"/>
        <w:adjustRightInd w:val="0"/>
        <w:spacing w:after="120"/>
        <w:ind w:left="0" w:firstLine="0"/>
        <w:jc w:val="both"/>
        <w:rPr>
          <w:rFonts w:eastAsia="Garamond-Book" w:cs="Garamond-Book"/>
          <w:color w:val="7030A0"/>
          <w:sz w:val="20"/>
          <w:szCs w:val="20"/>
        </w:rPr>
      </w:pPr>
    </w:p>
    <w:p w:rsidR="009D2C93" w:rsidRPr="00085358" w:rsidRDefault="009D2C93" w:rsidP="000461D9">
      <w:pPr>
        <w:autoSpaceDE w:val="0"/>
        <w:autoSpaceDN w:val="0"/>
        <w:adjustRightInd w:val="0"/>
        <w:spacing w:after="0"/>
        <w:ind w:left="0" w:firstLine="0"/>
        <w:jc w:val="both"/>
        <w:rPr>
          <w:rFonts w:eastAsia="Garamond-Book" w:cs="Garamond-Book"/>
          <w:color w:val="7030A0"/>
          <w:sz w:val="20"/>
          <w:szCs w:val="20"/>
        </w:rPr>
      </w:pPr>
    </w:p>
    <w:p w:rsidR="00B546CB" w:rsidRPr="00861B09" w:rsidRDefault="00B546CB" w:rsidP="001027BF">
      <w:pPr>
        <w:autoSpaceDE w:val="0"/>
        <w:autoSpaceDN w:val="0"/>
        <w:adjustRightInd w:val="0"/>
        <w:spacing w:before="120"/>
        <w:ind w:left="170" w:firstLine="0"/>
        <w:jc w:val="both"/>
        <w:rPr>
          <w:rFonts w:eastAsia="Garamond-Book" w:cs="Garamond-Book"/>
          <w:color w:val="002060"/>
          <w:sz w:val="20"/>
          <w:szCs w:val="20"/>
        </w:rPr>
      </w:pPr>
      <w:r w:rsidRPr="00861B09">
        <w:rPr>
          <w:rFonts w:eastAsia="Garamond-Book" w:cs="Garamond-Book"/>
          <w:color w:val="002060"/>
          <w:sz w:val="20"/>
          <w:szCs w:val="20"/>
        </w:rPr>
        <w:t>Le financement stable s’</w:t>
      </w:r>
      <w:r w:rsidR="003B6912" w:rsidRPr="00861B09">
        <w:rPr>
          <w:rFonts w:eastAsia="Garamond-Book" w:cs="Garamond-Book"/>
          <w:color w:val="002060"/>
          <w:sz w:val="20"/>
          <w:szCs w:val="20"/>
        </w:rPr>
        <w:t>apprécie</w:t>
      </w:r>
      <w:r w:rsidRPr="00861B09">
        <w:rPr>
          <w:rFonts w:eastAsia="Garamond-Book" w:cs="Garamond-Book"/>
          <w:color w:val="002060"/>
          <w:sz w:val="20"/>
          <w:szCs w:val="20"/>
        </w:rPr>
        <w:t xml:space="preserve"> </w:t>
      </w:r>
      <w:r w:rsidR="000461D9" w:rsidRPr="00861B09">
        <w:rPr>
          <w:rFonts w:eastAsia="Garamond-Book" w:cs="Garamond-Book"/>
          <w:color w:val="002060"/>
          <w:sz w:val="20"/>
          <w:szCs w:val="20"/>
        </w:rPr>
        <w:t>à</w:t>
      </w:r>
      <w:r w:rsidRPr="00861B09">
        <w:rPr>
          <w:rFonts w:eastAsia="Garamond-Book" w:cs="Garamond-Book"/>
          <w:color w:val="002060"/>
          <w:sz w:val="20"/>
          <w:szCs w:val="20"/>
        </w:rPr>
        <w:t xml:space="preserve"> partir du ratio :</w:t>
      </w:r>
      <w:r w:rsidR="009D2C93" w:rsidRPr="00861B09">
        <w:rPr>
          <w:rFonts w:eastAsia="Garamond-Book" w:cs="Garamond-Book"/>
          <w:color w:val="002060"/>
          <w:sz w:val="20"/>
          <w:szCs w:val="20"/>
        </w:rPr>
        <w:t xml:space="preserve"> </w:t>
      </w:r>
      <w:r w:rsidRPr="000461D9">
        <w:rPr>
          <w:rFonts w:cs="Garamond-BoldCondensed"/>
          <w:bCs/>
          <w:color w:val="002060"/>
          <w:sz w:val="20"/>
          <w:szCs w:val="20"/>
        </w:rPr>
        <w:t xml:space="preserve">(Fonds propres </w:t>
      </w:r>
      <w:r w:rsidR="003B6912" w:rsidRPr="000461D9">
        <w:rPr>
          <w:rFonts w:cs="Helvetica-Condensed-Black"/>
          <w:color w:val="002060"/>
          <w:sz w:val="18"/>
          <w:szCs w:val="18"/>
        </w:rPr>
        <w:t>+</w:t>
      </w:r>
      <w:r w:rsidRPr="000461D9">
        <w:rPr>
          <w:rFonts w:cs="Helvetica-Condensed-Black"/>
          <w:color w:val="002060"/>
          <w:sz w:val="18"/>
          <w:szCs w:val="18"/>
        </w:rPr>
        <w:t xml:space="preserve"> </w:t>
      </w:r>
      <w:r w:rsidRPr="000461D9">
        <w:rPr>
          <w:rFonts w:cs="Garamond-BoldCondensed"/>
          <w:bCs/>
          <w:color w:val="002060"/>
          <w:sz w:val="20"/>
          <w:szCs w:val="20"/>
        </w:rPr>
        <w:t xml:space="preserve">Dettes à </w:t>
      </w:r>
      <w:proofErr w:type="gramStart"/>
      <w:r w:rsidRPr="000461D9">
        <w:rPr>
          <w:rFonts w:cs="Garamond-BoldCondensed"/>
          <w:bCs/>
          <w:color w:val="002060"/>
          <w:sz w:val="20"/>
          <w:szCs w:val="20"/>
        </w:rPr>
        <w:t>LMT)</w:t>
      </w:r>
      <w:r w:rsidR="003B6912" w:rsidRPr="000461D9">
        <w:rPr>
          <w:rFonts w:cs="Garamond-BoldCondensed"/>
          <w:bCs/>
          <w:color w:val="002060"/>
          <w:sz w:val="20"/>
          <w:szCs w:val="20"/>
        </w:rPr>
        <w:t>/</w:t>
      </w:r>
      <w:proofErr w:type="gramEnd"/>
      <w:r w:rsidRPr="000461D9">
        <w:rPr>
          <w:rFonts w:cs="Garamond-BoldCondensed"/>
          <w:bCs/>
          <w:color w:val="002060"/>
          <w:sz w:val="20"/>
          <w:szCs w:val="20"/>
        </w:rPr>
        <w:t>Total du bilan</w:t>
      </w:r>
      <w:r w:rsidR="000461D9">
        <w:rPr>
          <w:rFonts w:cs="Garamond-BoldCondensed"/>
          <w:bCs/>
          <w:color w:val="002060"/>
          <w:sz w:val="20"/>
          <w:szCs w:val="20"/>
        </w:rPr>
        <w:t>.</w:t>
      </w:r>
    </w:p>
    <w:p w:rsidR="00B546CB" w:rsidRPr="00861B09" w:rsidRDefault="00B546CB" w:rsidP="001027BF">
      <w:pPr>
        <w:autoSpaceDE w:val="0"/>
        <w:autoSpaceDN w:val="0"/>
        <w:adjustRightInd w:val="0"/>
        <w:spacing w:after="120"/>
        <w:ind w:left="170" w:firstLine="0"/>
        <w:jc w:val="both"/>
        <w:rPr>
          <w:rFonts w:eastAsia="Garamond-Book" w:cs="Garamond-Book"/>
          <w:color w:val="002060"/>
          <w:sz w:val="20"/>
          <w:szCs w:val="20"/>
        </w:rPr>
      </w:pPr>
      <w:r w:rsidRPr="00861B09">
        <w:rPr>
          <w:rFonts w:eastAsia="Garamond-Book" w:cs="Garamond-Book"/>
          <w:color w:val="002060"/>
          <w:sz w:val="20"/>
          <w:szCs w:val="20"/>
        </w:rPr>
        <w:t>Pour la CIPA, cela donne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134"/>
        <w:gridCol w:w="1134"/>
      </w:tblGrid>
      <w:tr w:rsidR="00652F22" w:rsidRPr="00652F22" w:rsidTr="004979A7">
        <w:trPr>
          <w:jc w:val="center"/>
        </w:trPr>
        <w:tc>
          <w:tcPr>
            <w:tcW w:w="4536" w:type="dxa"/>
            <w:tcBorders>
              <w:top w:val="single" w:sz="4" w:space="0" w:color="auto"/>
              <w:left w:val="single" w:sz="4" w:space="0" w:color="auto"/>
              <w:bottom w:val="single" w:sz="4" w:space="0" w:color="auto"/>
              <w:right w:val="single" w:sz="4" w:space="0" w:color="FFFFFF" w:themeColor="background1"/>
            </w:tcBorders>
            <w:shd w:val="clear" w:color="auto" w:fill="808080" w:themeFill="background1" w:themeFillShade="80"/>
            <w:vAlign w:val="center"/>
          </w:tcPr>
          <w:p w:rsidR="003B6912" w:rsidRPr="00652F22" w:rsidRDefault="009D2C93" w:rsidP="00ED5398">
            <w:pPr>
              <w:autoSpaceDE w:val="0"/>
              <w:autoSpaceDN w:val="0"/>
              <w:adjustRightInd w:val="0"/>
              <w:spacing w:before="120" w:after="120"/>
              <w:ind w:left="0" w:firstLine="0"/>
              <w:jc w:val="both"/>
              <w:rPr>
                <w:rFonts w:cs="Helvetica-Bold"/>
                <w:b/>
                <w:bCs/>
                <w:color w:val="FFFFFF" w:themeColor="background1"/>
                <w:sz w:val="20"/>
                <w:szCs w:val="20"/>
              </w:rPr>
            </w:pPr>
            <w:r w:rsidRPr="00652F22">
              <w:rPr>
                <w:rFonts w:cs="Helvetica-Bold"/>
                <w:b/>
                <w:bCs/>
                <w:color w:val="FFFFFF" w:themeColor="background1"/>
                <w:sz w:val="20"/>
                <w:szCs w:val="20"/>
              </w:rPr>
              <w:t>En K€</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cPr>
          <w:p w:rsidR="003B6912" w:rsidRPr="00652F22" w:rsidRDefault="009D2C93" w:rsidP="00ED5398">
            <w:pPr>
              <w:autoSpaceDE w:val="0"/>
              <w:autoSpaceDN w:val="0"/>
              <w:adjustRightInd w:val="0"/>
              <w:spacing w:before="120" w:after="12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2009</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cPr>
          <w:p w:rsidR="003B6912" w:rsidRPr="00652F22" w:rsidRDefault="003B6912" w:rsidP="00ED5398">
            <w:pPr>
              <w:autoSpaceDE w:val="0"/>
              <w:autoSpaceDN w:val="0"/>
              <w:adjustRightInd w:val="0"/>
              <w:spacing w:before="120" w:after="12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2010</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808080" w:themeFill="background1" w:themeFillShade="80"/>
          </w:tcPr>
          <w:p w:rsidR="003B6912" w:rsidRPr="00652F22" w:rsidRDefault="003B6912" w:rsidP="00ED5398">
            <w:pPr>
              <w:autoSpaceDE w:val="0"/>
              <w:autoSpaceDN w:val="0"/>
              <w:adjustRightInd w:val="0"/>
              <w:spacing w:before="120" w:after="120"/>
              <w:ind w:left="0" w:firstLine="0"/>
              <w:jc w:val="center"/>
              <w:rPr>
                <w:rFonts w:cs="Helvetica-Bold"/>
                <w:b/>
                <w:bCs/>
                <w:color w:val="FFFFFF" w:themeColor="background1"/>
                <w:sz w:val="20"/>
                <w:szCs w:val="20"/>
              </w:rPr>
            </w:pPr>
            <w:r w:rsidRPr="00652F22">
              <w:rPr>
                <w:rFonts w:cs="Helvetica-Bold"/>
                <w:b/>
                <w:bCs/>
                <w:color w:val="FFFFFF" w:themeColor="background1"/>
                <w:sz w:val="20"/>
                <w:szCs w:val="20"/>
              </w:rPr>
              <w:t>2011</w:t>
            </w:r>
          </w:p>
        </w:tc>
      </w:tr>
      <w:tr w:rsidR="005C1D31" w:rsidRPr="00085358" w:rsidTr="004979A7">
        <w:trPr>
          <w:jc w:val="center"/>
        </w:trPr>
        <w:tc>
          <w:tcPr>
            <w:tcW w:w="4536" w:type="dxa"/>
            <w:tcBorders>
              <w:top w:val="single" w:sz="4" w:space="0" w:color="auto"/>
            </w:tcBorders>
            <w:vAlign w:val="center"/>
          </w:tcPr>
          <w:p w:rsidR="003B6912" w:rsidRPr="00861B09" w:rsidRDefault="009D2C93" w:rsidP="00ED5398">
            <w:pPr>
              <w:autoSpaceDE w:val="0"/>
              <w:autoSpaceDN w:val="0"/>
              <w:adjustRightInd w:val="0"/>
              <w:spacing w:before="120" w:after="120"/>
              <w:ind w:left="0" w:firstLine="0"/>
              <w:jc w:val="both"/>
              <w:rPr>
                <w:rFonts w:eastAsia="Garamond-Book" w:cs="Garamond-Book"/>
                <w:color w:val="002060"/>
                <w:sz w:val="20"/>
                <w:szCs w:val="20"/>
              </w:rPr>
            </w:pPr>
            <w:r w:rsidRPr="00861B09">
              <w:rPr>
                <w:rFonts w:cs="Helvetica-Bold"/>
                <w:b/>
                <w:bCs/>
                <w:color w:val="002060"/>
                <w:sz w:val="20"/>
                <w:szCs w:val="16"/>
              </w:rPr>
              <w:t>Fonds propres</w:t>
            </w:r>
          </w:p>
        </w:tc>
        <w:tc>
          <w:tcPr>
            <w:tcW w:w="1134" w:type="dxa"/>
            <w:tcBorders>
              <w:top w:val="single" w:sz="4" w:space="0" w:color="auto"/>
            </w:tcBorders>
            <w:vAlign w:val="center"/>
          </w:tcPr>
          <w:p w:rsidR="003B6912" w:rsidRPr="00861B09" w:rsidRDefault="009D2C93" w:rsidP="00ED5398">
            <w:pPr>
              <w:autoSpaceDE w:val="0"/>
              <w:autoSpaceDN w:val="0"/>
              <w:adjustRightInd w:val="0"/>
              <w:spacing w:after="0"/>
              <w:ind w:left="0" w:firstLine="0"/>
              <w:jc w:val="right"/>
              <w:rPr>
                <w:rFonts w:eastAsia="Garamond-Book" w:cs="Garamond-Book"/>
                <w:b/>
                <w:color w:val="002060"/>
                <w:sz w:val="20"/>
                <w:szCs w:val="20"/>
              </w:rPr>
            </w:pPr>
            <w:r w:rsidRPr="00861B09">
              <w:rPr>
                <w:rFonts w:eastAsia="Garamond-Book" w:cs="Garamond-Book"/>
                <w:b/>
                <w:color w:val="002060"/>
                <w:sz w:val="20"/>
                <w:szCs w:val="20"/>
              </w:rPr>
              <w:t>626</w:t>
            </w:r>
          </w:p>
        </w:tc>
        <w:tc>
          <w:tcPr>
            <w:tcW w:w="1134" w:type="dxa"/>
            <w:tcBorders>
              <w:top w:val="single" w:sz="4" w:space="0" w:color="auto"/>
            </w:tcBorders>
            <w:vAlign w:val="center"/>
          </w:tcPr>
          <w:p w:rsidR="003B6912" w:rsidRPr="00861B09" w:rsidRDefault="009D2C93" w:rsidP="00ED5398">
            <w:pPr>
              <w:autoSpaceDE w:val="0"/>
              <w:autoSpaceDN w:val="0"/>
              <w:adjustRightInd w:val="0"/>
              <w:spacing w:after="0"/>
              <w:ind w:left="0" w:firstLine="0"/>
              <w:jc w:val="right"/>
              <w:rPr>
                <w:rFonts w:eastAsia="Garamond-Book" w:cs="Garamond-Book"/>
                <w:b/>
                <w:color w:val="002060"/>
                <w:sz w:val="20"/>
                <w:szCs w:val="20"/>
              </w:rPr>
            </w:pPr>
            <w:r w:rsidRPr="00861B09">
              <w:rPr>
                <w:rFonts w:eastAsia="Garamond-Book" w:cs="Garamond-Book"/>
                <w:b/>
                <w:color w:val="002060"/>
                <w:sz w:val="20"/>
                <w:szCs w:val="20"/>
              </w:rPr>
              <w:t>670</w:t>
            </w:r>
          </w:p>
        </w:tc>
        <w:tc>
          <w:tcPr>
            <w:tcW w:w="1134" w:type="dxa"/>
            <w:tcBorders>
              <w:top w:val="single" w:sz="4" w:space="0" w:color="auto"/>
            </w:tcBorders>
            <w:vAlign w:val="center"/>
          </w:tcPr>
          <w:p w:rsidR="003B6912" w:rsidRPr="00861B09" w:rsidRDefault="009D2C93" w:rsidP="00ED5398">
            <w:pPr>
              <w:autoSpaceDE w:val="0"/>
              <w:autoSpaceDN w:val="0"/>
              <w:adjustRightInd w:val="0"/>
              <w:spacing w:after="0"/>
              <w:ind w:left="0" w:firstLine="0"/>
              <w:jc w:val="right"/>
              <w:rPr>
                <w:rFonts w:eastAsia="Garamond-Book" w:cs="Garamond-Book"/>
                <w:b/>
                <w:color w:val="002060"/>
                <w:sz w:val="20"/>
                <w:szCs w:val="20"/>
              </w:rPr>
            </w:pPr>
            <w:r w:rsidRPr="00861B09">
              <w:rPr>
                <w:rFonts w:eastAsia="Garamond-Book" w:cs="Garamond-Book"/>
                <w:b/>
                <w:color w:val="002060"/>
                <w:sz w:val="20"/>
                <w:szCs w:val="20"/>
              </w:rPr>
              <w:t>671</w:t>
            </w:r>
          </w:p>
        </w:tc>
      </w:tr>
      <w:tr w:rsidR="005C1D31" w:rsidRPr="00085358" w:rsidTr="002E3FD6">
        <w:trPr>
          <w:jc w:val="center"/>
        </w:trPr>
        <w:tc>
          <w:tcPr>
            <w:tcW w:w="4536" w:type="dxa"/>
          </w:tcPr>
          <w:p w:rsidR="005C1D31" w:rsidRPr="00861B09" w:rsidRDefault="005C1D31"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Dettes à LMT</w:t>
            </w:r>
          </w:p>
          <w:p w:rsidR="003B6912" w:rsidRPr="00861B09" w:rsidRDefault="005C1D31" w:rsidP="00ED5398">
            <w:pPr>
              <w:autoSpaceDE w:val="0"/>
              <w:autoSpaceDN w:val="0"/>
              <w:adjustRightInd w:val="0"/>
              <w:spacing w:after="120"/>
              <w:ind w:left="0" w:firstLine="0"/>
              <w:jc w:val="both"/>
              <w:rPr>
                <w:rFonts w:eastAsia="Garamond-Book" w:cs="Garamond-Book"/>
                <w:color w:val="002060"/>
                <w:sz w:val="20"/>
                <w:szCs w:val="20"/>
              </w:rPr>
            </w:pPr>
            <w:r w:rsidRPr="00861B09">
              <w:rPr>
                <w:rFonts w:cs="Helvetica"/>
                <w:color w:val="002060"/>
                <w:sz w:val="20"/>
                <w:szCs w:val="20"/>
              </w:rPr>
              <w:t>(y compris les engagements de crédit-bail</w:t>
            </w:r>
            <w:r w:rsidR="007D7FF2" w:rsidRPr="00861B09">
              <w:rPr>
                <w:rFonts w:cs="Helvetica"/>
                <w:color w:val="002060"/>
                <w:sz w:val="20"/>
                <w:szCs w:val="20"/>
              </w:rPr>
              <w:t>)</w:t>
            </w:r>
          </w:p>
        </w:tc>
        <w:tc>
          <w:tcPr>
            <w:tcW w:w="1134" w:type="dxa"/>
            <w:vAlign w:val="center"/>
          </w:tcPr>
          <w:p w:rsidR="003B6912" w:rsidRPr="00861B09" w:rsidRDefault="005C1D31" w:rsidP="002E3FD6">
            <w:pPr>
              <w:autoSpaceDE w:val="0"/>
              <w:autoSpaceDN w:val="0"/>
              <w:adjustRightInd w:val="0"/>
              <w:spacing w:after="120"/>
              <w:ind w:left="0" w:firstLine="0"/>
              <w:jc w:val="right"/>
              <w:rPr>
                <w:rFonts w:eastAsia="Garamond-Book" w:cs="Garamond-Book"/>
                <w:b/>
                <w:color w:val="002060"/>
                <w:sz w:val="20"/>
                <w:szCs w:val="20"/>
              </w:rPr>
            </w:pPr>
            <w:r w:rsidRPr="00861B09">
              <w:rPr>
                <w:rFonts w:eastAsia="Garamond-Book" w:cs="Garamond-Book"/>
                <w:b/>
                <w:color w:val="002060"/>
                <w:sz w:val="20"/>
                <w:szCs w:val="20"/>
              </w:rPr>
              <w:t>1.231</w:t>
            </w:r>
          </w:p>
        </w:tc>
        <w:tc>
          <w:tcPr>
            <w:tcW w:w="1134" w:type="dxa"/>
            <w:vAlign w:val="center"/>
          </w:tcPr>
          <w:p w:rsidR="003B6912" w:rsidRPr="00861B09" w:rsidRDefault="005C1D31" w:rsidP="002E3FD6">
            <w:pPr>
              <w:autoSpaceDE w:val="0"/>
              <w:autoSpaceDN w:val="0"/>
              <w:adjustRightInd w:val="0"/>
              <w:spacing w:after="120"/>
              <w:ind w:left="0" w:firstLine="0"/>
              <w:jc w:val="right"/>
              <w:rPr>
                <w:rFonts w:eastAsia="Garamond-Book" w:cs="Garamond-Book"/>
                <w:b/>
                <w:color w:val="002060"/>
                <w:sz w:val="20"/>
                <w:szCs w:val="20"/>
              </w:rPr>
            </w:pPr>
            <w:r w:rsidRPr="00861B09">
              <w:rPr>
                <w:rFonts w:eastAsia="Garamond-Book" w:cs="Garamond-Book"/>
                <w:b/>
                <w:color w:val="002060"/>
                <w:sz w:val="20"/>
                <w:szCs w:val="20"/>
              </w:rPr>
              <w:t>1.119</w:t>
            </w:r>
          </w:p>
        </w:tc>
        <w:tc>
          <w:tcPr>
            <w:tcW w:w="1134" w:type="dxa"/>
            <w:vAlign w:val="center"/>
          </w:tcPr>
          <w:p w:rsidR="003B6912" w:rsidRPr="00861B09" w:rsidRDefault="005C1D31" w:rsidP="002E3FD6">
            <w:pPr>
              <w:autoSpaceDE w:val="0"/>
              <w:autoSpaceDN w:val="0"/>
              <w:adjustRightInd w:val="0"/>
              <w:spacing w:after="120"/>
              <w:ind w:left="0" w:firstLine="0"/>
              <w:jc w:val="right"/>
              <w:rPr>
                <w:rFonts w:eastAsia="Garamond-Book" w:cs="Garamond-Book"/>
                <w:b/>
                <w:color w:val="002060"/>
                <w:sz w:val="20"/>
                <w:szCs w:val="20"/>
              </w:rPr>
            </w:pPr>
            <w:r w:rsidRPr="00861B09">
              <w:rPr>
                <w:rFonts w:eastAsia="Garamond-Book" w:cs="Garamond-Book"/>
                <w:b/>
                <w:color w:val="002060"/>
                <w:sz w:val="20"/>
                <w:szCs w:val="20"/>
              </w:rPr>
              <w:t>1.003</w:t>
            </w:r>
          </w:p>
        </w:tc>
      </w:tr>
      <w:tr w:rsidR="005C1D31" w:rsidRPr="00085358" w:rsidTr="002E3FD6">
        <w:trPr>
          <w:jc w:val="center"/>
        </w:trPr>
        <w:tc>
          <w:tcPr>
            <w:tcW w:w="4536" w:type="dxa"/>
          </w:tcPr>
          <w:p w:rsidR="005C1D31" w:rsidRPr="00861B09" w:rsidRDefault="005C1D31"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Total du bilan</w:t>
            </w:r>
          </w:p>
          <w:p w:rsidR="003B6912" w:rsidRPr="00861B09" w:rsidRDefault="005C1D31" w:rsidP="00ED5398">
            <w:pPr>
              <w:autoSpaceDE w:val="0"/>
              <w:autoSpaceDN w:val="0"/>
              <w:adjustRightInd w:val="0"/>
              <w:spacing w:after="120"/>
              <w:ind w:left="0" w:firstLine="0"/>
              <w:jc w:val="both"/>
              <w:rPr>
                <w:rFonts w:eastAsia="Garamond-Book" w:cs="Garamond-Book"/>
                <w:color w:val="002060"/>
                <w:sz w:val="20"/>
                <w:szCs w:val="20"/>
              </w:rPr>
            </w:pPr>
            <w:r w:rsidRPr="00861B09">
              <w:rPr>
                <w:rFonts w:cs="Helvetica"/>
                <w:color w:val="002060"/>
                <w:sz w:val="20"/>
                <w:szCs w:val="20"/>
              </w:rPr>
              <w:t>(y compris les EENE et engagements de crédit-bail)</w:t>
            </w:r>
          </w:p>
        </w:tc>
        <w:tc>
          <w:tcPr>
            <w:tcW w:w="1134" w:type="dxa"/>
            <w:vAlign w:val="center"/>
          </w:tcPr>
          <w:p w:rsidR="003B6912" w:rsidRPr="00861B09" w:rsidRDefault="005C1D31" w:rsidP="00ED5398">
            <w:pPr>
              <w:autoSpaceDE w:val="0"/>
              <w:autoSpaceDN w:val="0"/>
              <w:adjustRightInd w:val="0"/>
              <w:spacing w:after="120"/>
              <w:ind w:left="0" w:firstLine="0"/>
              <w:jc w:val="right"/>
              <w:rPr>
                <w:rFonts w:eastAsia="Garamond-Book" w:cs="Garamond-Book"/>
                <w:b/>
                <w:color w:val="002060"/>
                <w:sz w:val="20"/>
                <w:szCs w:val="20"/>
              </w:rPr>
            </w:pPr>
            <w:r w:rsidRPr="00861B09">
              <w:rPr>
                <w:rFonts w:eastAsia="Garamond-Book" w:cs="Garamond-Book"/>
                <w:b/>
                <w:color w:val="002060"/>
                <w:sz w:val="20"/>
                <w:szCs w:val="20"/>
              </w:rPr>
              <w:t>5.858</w:t>
            </w:r>
          </w:p>
        </w:tc>
        <w:tc>
          <w:tcPr>
            <w:tcW w:w="1134" w:type="dxa"/>
            <w:vAlign w:val="center"/>
          </w:tcPr>
          <w:p w:rsidR="003B6912" w:rsidRPr="00861B09" w:rsidRDefault="005C1D31" w:rsidP="00ED5398">
            <w:pPr>
              <w:autoSpaceDE w:val="0"/>
              <w:autoSpaceDN w:val="0"/>
              <w:adjustRightInd w:val="0"/>
              <w:spacing w:after="120"/>
              <w:ind w:left="0" w:firstLine="0"/>
              <w:jc w:val="right"/>
              <w:rPr>
                <w:rFonts w:eastAsia="Garamond-Book" w:cs="Garamond-Book"/>
                <w:b/>
                <w:color w:val="002060"/>
                <w:sz w:val="20"/>
                <w:szCs w:val="20"/>
              </w:rPr>
            </w:pPr>
            <w:r w:rsidRPr="00861B09">
              <w:rPr>
                <w:rFonts w:eastAsia="Garamond-Book" w:cs="Garamond-Book"/>
                <w:b/>
                <w:color w:val="002060"/>
                <w:sz w:val="20"/>
                <w:szCs w:val="20"/>
              </w:rPr>
              <w:t>5.550</w:t>
            </w:r>
          </w:p>
        </w:tc>
        <w:tc>
          <w:tcPr>
            <w:tcW w:w="1134" w:type="dxa"/>
            <w:vAlign w:val="center"/>
          </w:tcPr>
          <w:p w:rsidR="003B6912" w:rsidRPr="00861B09" w:rsidRDefault="005C1D31" w:rsidP="00ED5398">
            <w:pPr>
              <w:autoSpaceDE w:val="0"/>
              <w:autoSpaceDN w:val="0"/>
              <w:adjustRightInd w:val="0"/>
              <w:spacing w:after="120"/>
              <w:ind w:left="0" w:firstLine="0"/>
              <w:jc w:val="right"/>
              <w:rPr>
                <w:rFonts w:eastAsia="Garamond-Book" w:cs="Garamond-Book"/>
                <w:b/>
                <w:color w:val="002060"/>
                <w:sz w:val="20"/>
                <w:szCs w:val="20"/>
              </w:rPr>
            </w:pPr>
            <w:r w:rsidRPr="00861B09">
              <w:rPr>
                <w:rFonts w:eastAsia="Garamond-Book" w:cs="Garamond-Book"/>
                <w:b/>
                <w:color w:val="002060"/>
                <w:sz w:val="20"/>
                <w:szCs w:val="20"/>
              </w:rPr>
              <w:t>5.227</w:t>
            </w:r>
          </w:p>
        </w:tc>
      </w:tr>
      <w:tr w:rsidR="005C1D31" w:rsidRPr="00085358" w:rsidTr="000461D9">
        <w:trPr>
          <w:jc w:val="center"/>
        </w:trPr>
        <w:tc>
          <w:tcPr>
            <w:tcW w:w="4536" w:type="dxa"/>
            <w:shd w:val="clear" w:color="auto" w:fill="F2F2F2" w:themeFill="background1" w:themeFillShade="F2"/>
            <w:vAlign w:val="center"/>
          </w:tcPr>
          <w:p w:rsidR="003B6912" w:rsidRPr="00085358" w:rsidRDefault="005C1D31" w:rsidP="00652F22">
            <w:pPr>
              <w:autoSpaceDE w:val="0"/>
              <w:autoSpaceDN w:val="0"/>
              <w:adjustRightInd w:val="0"/>
              <w:spacing w:before="120" w:after="120"/>
              <w:ind w:left="0" w:firstLine="0"/>
              <w:jc w:val="both"/>
              <w:rPr>
                <w:rFonts w:cs="Helvetica-Bold"/>
                <w:b/>
                <w:bCs/>
                <w:color w:val="7030A0"/>
                <w:sz w:val="20"/>
                <w:szCs w:val="20"/>
              </w:rPr>
            </w:pPr>
            <w:r w:rsidRPr="00085358">
              <w:rPr>
                <w:rFonts w:cs="Helvetica-Bold"/>
                <w:b/>
                <w:bCs/>
                <w:color w:val="7030A0"/>
                <w:sz w:val="20"/>
                <w:szCs w:val="20"/>
              </w:rPr>
              <w:t xml:space="preserve">Part du financement stable en % </w:t>
            </w:r>
          </w:p>
        </w:tc>
        <w:tc>
          <w:tcPr>
            <w:tcW w:w="1134" w:type="dxa"/>
            <w:shd w:val="clear" w:color="auto" w:fill="F2F2F2" w:themeFill="background1" w:themeFillShade="F2"/>
            <w:vAlign w:val="center"/>
          </w:tcPr>
          <w:p w:rsidR="003B6912" w:rsidRPr="00085358" w:rsidRDefault="005C1D31" w:rsidP="00652F22">
            <w:pPr>
              <w:autoSpaceDE w:val="0"/>
              <w:autoSpaceDN w:val="0"/>
              <w:adjustRightInd w:val="0"/>
              <w:spacing w:before="120" w:after="120"/>
              <w:ind w:left="0" w:firstLine="0"/>
              <w:jc w:val="center"/>
              <w:rPr>
                <w:rFonts w:eastAsia="Garamond-Book" w:cs="Garamond-Book"/>
                <w:b/>
                <w:color w:val="7030A0"/>
                <w:sz w:val="20"/>
                <w:szCs w:val="20"/>
              </w:rPr>
            </w:pPr>
            <w:r w:rsidRPr="00085358">
              <w:rPr>
                <w:rFonts w:eastAsia="Garamond-Book" w:cs="Garamond-Book"/>
                <w:b/>
                <w:color w:val="7030A0"/>
                <w:sz w:val="20"/>
                <w:szCs w:val="20"/>
              </w:rPr>
              <w:t>31,70%</w:t>
            </w:r>
          </w:p>
        </w:tc>
        <w:tc>
          <w:tcPr>
            <w:tcW w:w="1134" w:type="dxa"/>
            <w:shd w:val="clear" w:color="auto" w:fill="F2F2F2" w:themeFill="background1" w:themeFillShade="F2"/>
            <w:vAlign w:val="center"/>
          </w:tcPr>
          <w:p w:rsidR="003B6912" w:rsidRPr="00085358" w:rsidRDefault="005C1D31" w:rsidP="00652F22">
            <w:pPr>
              <w:autoSpaceDE w:val="0"/>
              <w:autoSpaceDN w:val="0"/>
              <w:adjustRightInd w:val="0"/>
              <w:spacing w:before="120" w:after="120"/>
              <w:ind w:left="0" w:firstLine="0"/>
              <w:jc w:val="center"/>
              <w:rPr>
                <w:rFonts w:eastAsia="Garamond-Book" w:cs="Garamond-Book"/>
                <w:b/>
                <w:color w:val="7030A0"/>
                <w:sz w:val="20"/>
                <w:szCs w:val="20"/>
              </w:rPr>
            </w:pPr>
            <w:r w:rsidRPr="00085358">
              <w:rPr>
                <w:rFonts w:eastAsia="Garamond-Book" w:cs="Garamond-Book"/>
                <w:b/>
                <w:color w:val="7030A0"/>
                <w:sz w:val="20"/>
                <w:szCs w:val="20"/>
              </w:rPr>
              <w:t>32,41%</w:t>
            </w:r>
          </w:p>
        </w:tc>
        <w:tc>
          <w:tcPr>
            <w:tcW w:w="1134" w:type="dxa"/>
            <w:shd w:val="clear" w:color="auto" w:fill="F2F2F2" w:themeFill="background1" w:themeFillShade="F2"/>
            <w:vAlign w:val="center"/>
          </w:tcPr>
          <w:p w:rsidR="003B6912" w:rsidRPr="00085358" w:rsidRDefault="005C1D31" w:rsidP="00652F22">
            <w:pPr>
              <w:autoSpaceDE w:val="0"/>
              <w:autoSpaceDN w:val="0"/>
              <w:adjustRightInd w:val="0"/>
              <w:spacing w:before="120" w:after="120"/>
              <w:ind w:left="0" w:firstLine="0"/>
              <w:jc w:val="center"/>
              <w:rPr>
                <w:rFonts w:eastAsia="Garamond-Book" w:cs="Garamond-Book"/>
                <w:b/>
                <w:color w:val="7030A0"/>
                <w:sz w:val="20"/>
                <w:szCs w:val="20"/>
              </w:rPr>
            </w:pPr>
            <w:r w:rsidRPr="00085358">
              <w:rPr>
                <w:rFonts w:eastAsia="Garamond-Book" w:cs="Garamond-Book"/>
                <w:b/>
                <w:color w:val="7030A0"/>
                <w:sz w:val="20"/>
                <w:szCs w:val="20"/>
              </w:rPr>
              <w:t>32,03%</w:t>
            </w:r>
          </w:p>
        </w:tc>
      </w:tr>
    </w:tbl>
    <w:p w:rsidR="00B546CB" w:rsidRPr="00861B09" w:rsidRDefault="00B546CB" w:rsidP="001027BF">
      <w:pPr>
        <w:autoSpaceDE w:val="0"/>
        <w:autoSpaceDN w:val="0"/>
        <w:adjustRightInd w:val="0"/>
        <w:spacing w:before="12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La part du financement stable est faible tout au long de la </w:t>
      </w:r>
      <w:r w:rsidR="005C1D31" w:rsidRPr="00861B09">
        <w:rPr>
          <w:rFonts w:eastAsia="Garamond-Book" w:cs="Garamond-Book"/>
          <w:color w:val="002060"/>
          <w:sz w:val="20"/>
          <w:szCs w:val="20"/>
        </w:rPr>
        <w:t>période</w:t>
      </w:r>
      <w:r w:rsidRPr="00861B09">
        <w:rPr>
          <w:rFonts w:eastAsia="Garamond-Book" w:cs="Garamond-Book"/>
          <w:color w:val="002060"/>
          <w:sz w:val="20"/>
          <w:szCs w:val="20"/>
        </w:rPr>
        <w:t xml:space="preserve"> – </w:t>
      </w:r>
      <w:r w:rsidRPr="00861B09">
        <w:rPr>
          <w:rFonts w:eastAsia="Garamond-Book" w:cs="Garamond-Book"/>
          <w:color w:val="002060"/>
          <w:sz w:val="20"/>
          <w:szCs w:val="20"/>
          <w:highlight w:val="yellow"/>
        </w:rPr>
        <w:t>un niveau d’un</w:t>
      </w:r>
      <w:r w:rsidR="005C1D31" w:rsidRPr="00861B09">
        <w:rPr>
          <w:rFonts w:eastAsia="Garamond-Book" w:cs="Garamond-Book"/>
          <w:color w:val="002060"/>
          <w:sz w:val="20"/>
          <w:szCs w:val="20"/>
          <w:highlight w:val="yellow"/>
        </w:rPr>
        <w:t xml:space="preserve"> </w:t>
      </w:r>
      <w:r w:rsidRPr="00861B09">
        <w:rPr>
          <w:rFonts w:eastAsia="Garamond-Book" w:cs="Garamond-Book"/>
          <w:color w:val="002060"/>
          <w:sz w:val="20"/>
          <w:szCs w:val="20"/>
          <w:highlight w:val="yellow"/>
        </w:rPr>
        <w:t xml:space="preserve">tiers est souvent </w:t>
      </w:r>
      <w:r w:rsidR="005C1D31" w:rsidRPr="00861B09">
        <w:rPr>
          <w:rFonts w:eastAsia="Garamond-Book" w:cs="Garamond-Book"/>
          <w:color w:val="002060"/>
          <w:sz w:val="20"/>
          <w:szCs w:val="20"/>
          <w:highlight w:val="yellow"/>
        </w:rPr>
        <w:t>considéré</w:t>
      </w:r>
      <w:r w:rsidRPr="00861B09">
        <w:rPr>
          <w:rFonts w:eastAsia="Garamond-Book" w:cs="Garamond-Book"/>
          <w:color w:val="002060"/>
          <w:sz w:val="20"/>
          <w:szCs w:val="20"/>
          <w:highlight w:val="yellow"/>
        </w:rPr>
        <w:t xml:space="preserve"> comme un minimum</w:t>
      </w:r>
      <w:r w:rsidRPr="00861B09">
        <w:rPr>
          <w:rFonts w:eastAsia="Garamond-Book" w:cs="Garamond-Book"/>
          <w:color w:val="002060"/>
          <w:sz w:val="20"/>
          <w:szCs w:val="20"/>
        </w:rPr>
        <w:t xml:space="preserve"> – ce qui fragilise la position de</w:t>
      </w:r>
      <w:r w:rsidR="005C1D31" w:rsidRPr="00861B09">
        <w:rPr>
          <w:rFonts w:eastAsia="Garamond-Book" w:cs="Garamond-Book"/>
          <w:color w:val="002060"/>
          <w:sz w:val="20"/>
          <w:szCs w:val="20"/>
        </w:rPr>
        <w:t xml:space="preserve"> </w:t>
      </w:r>
      <w:r w:rsidRPr="00861B09">
        <w:rPr>
          <w:rFonts w:eastAsia="Garamond-Book" w:cs="Garamond-Book"/>
          <w:color w:val="002060"/>
          <w:sz w:val="20"/>
          <w:szCs w:val="20"/>
        </w:rPr>
        <w:t xml:space="preserve">l’entreprise </w:t>
      </w:r>
      <w:r w:rsidR="005C1D31" w:rsidRPr="00861B09">
        <w:rPr>
          <w:rFonts w:eastAsia="Garamond-Book" w:cs="Garamond-Book"/>
          <w:color w:val="002060"/>
          <w:sz w:val="20"/>
          <w:szCs w:val="20"/>
        </w:rPr>
        <w:t>vis-à-vis</w:t>
      </w:r>
      <w:r w:rsidRPr="00861B09">
        <w:rPr>
          <w:rFonts w:eastAsia="Garamond-Book" w:cs="Garamond-Book"/>
          <w:color w:val="002060"/>
          <w:sz w:val="20"/>
          <w:szCs w:val="20"/>
        </w:rPr>
        <w:t xml:space="preserve"> de ses </w:t>
      </w:r>
      <w:r w:rsidR="005C1D31" w:rsidRPr="00861B09">
        <w:rPr>
          <w:rFonts w:eastAsia="Garamond-Book" w:cs="Garamond-Book"/>
          <w:color w:val="002060"/>
          <w:sz w:val="20"/>
          <w:szCs w:val="20"/>
        </w:rPr>
        <w:t>créditeurs</w:t>
      </w:r>
      <w:r w:rsidRPr="00861B09">
        <w:rPr>
          <w:rFonts w:eastAsia="Garamond-Book" w:cs="Garamond-Book"/>
          <w:color w:val="002060"/>
          <w:sz w:val="20"/>
          <w:szCs w:val="20"/>
        </w:rPr>
        <w:t>.</w:t>
      </w:r>
    </w:p>
    <w:p w:rsidR="00C7419C" w:rsidRDefault="00B546CB"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La part des </w:t>
      </w:r>
      <w:r w:rsidR="005C1D31" w:rsidRPr="00861B09">
        <w:rPr>
          <w:rFonts w:eastAsia="Garamond-Book" w:cs="Garamond-Book"/>
          <w:color w:val="002060"/>
          <w:sz w:val="20"/>
          <w:szCs w:val="20"/>
        </w:rPr>
        <w:t>crédits</w:t>
      </w:r>
      <w:r w:rsidRPr="00861B09">
        <w:rPr>
          <w:rFonts w:eastAsia="Garamond-Book" w:cs="Garamond-Book"/>
          <w:color w:val="002060"/>
          <w:sz w:val="20"/>
          <w:szCs w:val="20"/>
        </w:rPr>
        <w:t xml:space="preserve"> bancaires courants dans l’endettement fournit des indications</w:t>
      </w:r>
      <w:r w:rsidR="005C1D31" w:rsidRPr="00861B09">
        <w:rPr>
          <w:rFonts w:eastAsia="Garamond-Book" w:cs="Garamond-Book"/>
          <w:color w:val="002060"/>
          <w:sz w:val="20"/>
          <w:szCs w:val="20"/>
        </w:rPr>
        <w:t xml:space="preserve"> précieuses sur la vulnérabilité de </w:t>
      </w:r>
      <w:r w:rsidRPr="00861B09">
        <w:rPr>
          <w:rFonts w:eastAsia="Garamond-Book" w:cs="Garamond-Book"/>
          <w:color w:val="002060"/>
          <w:sz w:val="20"/>
          <w:szCs w:val="20"/>
        </w:rPr>
        <w:t xml:space="preserve">l’entreprise. </w:t>
      </w:r>
    </w:p>
    <w:p w:rsidR="002421F3" w:rsidRDefault="00B546CB"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Par </w:t>
      </w:r>
      <w:r w:rsidR="005C1D31" w:rsidRPr="00861B09">
        <w:rPr>
          <w:rFonts w:eastAsia="Garamond-Book" w:cs="Garamond-Book"/>
          <w:color w:val="002060"/>
          <w:sz w:val="20"/>
          <w:szCs w:val="20"/>
        </w:rPr>
        <w:t>définition</w:t>
      </w:r>
      <w:r w:rsidRPr="00861B09">
        <w:rPr>
          <w:rFonts w:eastAsia="Garamond-Book" w:cs="Garamond-Book"/>
          <w:color w:val="002060"/>
          <w:sz w:val="20"/>
          <w:szCs w:val="20"/>
        </w:rPr>
        <w:t>, les concours bancaires</w:t>
      </w:r>
      <w:r w:rsidR="005C1D31" w:rsidRPr="00861B09">
        <w:rPr>
          <w:rFonts w:eastAsia="Garamond-Book" w:cs="Garamond-Book"/>
          <w:color w:val="002060"/>
          <w:sz w:val="20"/>
          <w:szCs w:val="20"/>
        </w:rPr>
        <w:t xml:space="preserve"> </w:t>
      </w:r>
      <w:r w:rsidRPr="00861B09">
        <w:rPr>
          <w:rFonts w:eastAsia="Garamond-Book" w:cs="Garamond-Book"/>
          <w:color w:val="002060"/>
          <w:sz w:val="20"/>
          <w:szCs w:val="20"/>
        </w:rPr>
        <w:t xml:space="preserve">courants sont </w:t>
      </w:r>
      <w:r w:rsidR="005C1D31" w:rsidRPr="00861B09">
        <w:rPr>
          <w:rFonts w:eastAsia="Garamond-Book" w:cs="Garamond-Book"/>
          <w:color w:val="002060"/>
          <w:sz w:val="20"/>
          <w:szCs w:val="20"/>
        </w:rPr>
        <w:t>précaires</w:t>
      </w:r>
      <w:r w:rsidRPr="00861B09">
        <w:rPr>
          <w:rFonts w:eastAsia="Garamond-Book" w:cs="Garamond-Book"/>
          <w:color w:val="002060"/>
          <w:sz w:val="20"/>
          <w:szCs w:val="20"/>
        </w:rPr>
        <w:t xml:space="preserve"> : le recours massif et </w:t>
      </w:r>
      <w:r w:rsidR="005C1D31" w:rsidRPr="00861B09">
        <w:rPr>
          <w:rFonts w:eastAsia="Garamond-Book" w:cs="Garamond-Book"/>
          <w:color w:val="002060"/>
          <w:sz w:val="20"/>
          <w:szCs w:val="20"/>
        </w:rPr>
        <w:t>récurrent</w:t>
      </w:r>
      <w:r w:rsidRPr="00861B09">
        <w:rPr>
          <w:rFonts w:eastAsia="Garamond-Book" w:cs="Garamond-Book"/>
          <w:color w:val="002060"/>
          <w:sz w:val="20"/>
          <w:szCs w:val="20"/>
        </w:rPr>
        <w:t xml:space="preserve">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ce type de financement</w:t>
      </w:r>
      <w:r w:rsidR="005C1D31" w:rsidRPr="00861B09">
        <w:rPr>
          <w:rFonts w:eastAsia="Garamond-Book" w:cs="Garamond-Book"/>
          <w:color w:val="002060"/>
          <w:sz w:val="20"/>
          <w:szCs w:val="20"/>
        </w:rPr>
        <w:t xml:space="preserve"> </w:t>
      </w:r>
      <w:r w:rsidRPr="00861B09">
        <w:rPr>
          <w:rFonts w:eastAsia="Garamond-Book" w:cs="Garamond-Book"/>
          <w:color w:val="002060"/>
          <w:sz w:val="20"/>
          <w:szCs w:val="20"/>
        </w:rPr>
        <w:t xml:space="preserve">place l’entreprise dans une situation </w:t>
      </w:r>
      <w:r w:rsidR="005C1D31" w:rsidRPr="00861B09">
        <w:rPr>
          <w:rFonts w:eastAsia="Garamond-Book" w:cs="Garamond-Book"/>
          <w:color w:val="002060"/>
          <w:sz w:val="20"/>
          <w:szCs w:val="20"/>
        </w:rPr>
        <w:t>délicate</w:t>
      </w:r>
      <w:r w:rsidRPr="00861B09">
        <w:rPr>
          <w:rFonts w:eastAsia="Garamond-Book" w:cs="Garamond-Book"/>
          <w:color w:val="002060"/>
          <w:sz w:val="20"/>
          <w:szCs w:val="20"/>
        </w:rPr>
        <w:t>.</w:t>
      </w:r>
    </w:p>
    <w:p w:rsidR="005C1D31" w:rsidRPr="00BC57A6" w:rsidRDefault="00C7419C" w:rsidP="001027BF">
      <w:pPr>
        <w:autoSpaceDE w:val="0"/>
        <w:autoSpaceDN w:val="0"/>
        <w:adjustRightInd w:val="0"/>
        <w:ind w:left="397" w:hanging="227"/>
        <w:jc w:val="both"/>
        <w:rPr>
          <w:rFonts w:cs="Helvetica-Condensed-Black"/>
          <w:color w:val="002060"/>
          <w:sz w:val="20"/>
          <w:szCs w:val="20"/>
        </w:rPr>
      </w:pPr>
      <w:r w:rsidRPr="00861B09">
        <w:rPr>
          <w:rFonts w:cs="Garamond-BoldCondensed"/>
          <w:b/>
          <w:bCs/>
          <w:color w:val="002060"/>
          <w:sz w:val="20"/>
          <w:szCs w:val="20"/>
        </w:rPr>
        <w:sym w:font="Wingdings" w:char="F0D8"/>
      </w:r>
      <w:r w:rsidR="00BC57A6">
        <w:rPr>
          <w:rFonts w:cs="Garamond-BoldCondensed"/>
          <w:b/>
          <w:bCs/>
          <w:color w:val="002060"/>
          <w:sz w:val="20"/>
          <w:szCs w:val="20"/>
        </w:rPr>
        <w:t xml:space="preserve"> Le</w:t>
      </w:r>
      <w:r w:rsidRPr="00861B09">
        <w:rPr>
          <w:rFonts w:cs="Garamond-BoldCondensed"/>
          <w:b/>
          <w:bCs/>
          <w:color w:val="002060"/>
          <w:sz w:val="20"/>
          <w:szCs w:val="20"/>
        </w:rPr>
        <w:t xml:space="preserve"> </w:t>
      </w:r>
      <w:r w:rsidR="00BC57A6">
        <w:rPr>
          <w:rFonts w:cs="Garamond-BoldCondensed"/>
          <w:b/>
          <w:bCs/>
          <w:color w:val="002060"/>
          <w:sz w:val="20"/>
          <w:szCs w:val="20"/>
        </w:rPr>
        <w:t>Ratio</w:t>
      </w:r>
      <w:r w:rsidR="00BC57A6">
        <w:rPr>
          <w:rFonts w:cs="Helvetica-Condensed-Black"/>
          <w:color w:val="002060"/>
          <w:sz w:val="20"/>
          <w:szCs w:val="20"/>
        </w:rPr>
        <w:t xml:space="preserve"> </w:t>
      </w:r>
      <w:r w:rsidR="005C1D31" w:rsidRPr="00BC57A6">
        <w:rPr>
          <w:rFonts w:eastAsia="Garamond-Book" w:cs="Garamond-BoldCondensed"/>
          <w:b/>
          <w:bCs/>
          <w:color w:val="002060"/>
          <w:sz w:val="20"/>
          <w:szCs w:val="20"/>
        </w:rPr>
        <w:t xml:space="preserve">(Crédits bancaires courants </w:t>
      </w:r>
      <w:r w:rsidR="0011306F" w:rsidRPr="00BC57A6">
        <w:rPr>
          <w:rFonts w:eastAsia="Garamond-Book" w:cs="Helvetica-Condensed-Black"/>
          <w:b/>
          <w:color w:val="002060"/>
          <w:sz w:val="20"/>
          <w:szCs w:val="20"/>
        </w:rPr>
        <w:t>+</w:t>
      </w:r>
      <w:r w:rsidR="005C1D31" w:rsidRPr="00BC57A6">
        <w:rPr>
          <w:rFonts w:eastAsia="Garamond-Book" w:cs="Helvetica-Condensed-Black"/>
          <w:b/>
          <w:color w:val="002060"/>
          <w:sz w:val="20"/>
          <w:szCs w:val="20"/>
        </w:rPr>
        <w:t xml:space="preserve"> </w:t>
      </w:r>
      <w:r w:rsidR="005C1D31" w:rsidRPr="00BC57A6">
        <w:rPr>
          <w:rFonts w:eastAsia="Garamond-Book" w:cs="Garamond-BoldCondensed"/>
          <w:b/>
          <w:bCs/>
          <w:color w:val="002060"/>
          <w:sz w:val="20"/>
          <w:szCs w:val="20"/>
        </w:rPr>
        <w:t xml:space="preserve">Créances cédées non </w:t>
      </w:r>
      <w:r w:rsidR="001027BF" w:rsidRPr="00BC57A6">
        <w:rPr>
          <w:rFonts w:eastAsia="Garamond-Book" w:cs="Garamond-BoldCondensed"/>
          <w:b/>
          <w:bCs/>
          <w:color w:val="002060"/>
          <w:sz w:val="20"/>
          <w:szCs w:val="20"/>
        </w:rPr>
        <w:t>échues) /</w:t>
      </w:r>
      <w:r w:rsidR="001027BF">
        <w:rPr>
          <w:rFonts w:eastAsia="Garamond-Book" w:cs="Garamond-BoldCondensed"/>
          <w:b/>
          <w:bCs/>
          <w:color w:val="002060"/>
          <w:sz w:val="20"/>
          <w:szCs w:val="20"/>
        </w:rPr>
        <w:t xml:space="preserve"> </w:t>
      </w:r>
      <w:r w:rsidR="005C1D31" w:rsidRPr="00BC57A6">
        <w:rPr>
          <w:rFonts w:eastAsia="Garamond-Book" w:cs="Garamond-BoldCondensed"/>
          <w:b/>
          <w:bCs/>
          <w:color w:val="002060"/>
          <w:sz w:val="20"/>
          <w:szCs w:val="20"/>
        </w:rPr>
        <w:t>Endettement financier</w:t>
      </w:r>
      <w:r w:rsidR="00BC57A6">
        <w:rPr>
          <w:rFonts w:eastAsia="Garamond-Book" w:cs="Garamond-BoldCondensed"/>
          <w:b/>
          <w:bCs/>
          <w:color w:val="002060"/>
          <w:sz w:val="20"/>
          <w:szCs w:val="20"/>
        </w:rPr>
        <w:t xml:space="preserve">, </w:t>
      </w:r>
      <w:r w:rsidR="00BC57A6" w:rsidRPr="00BC57A6">
        <w:rPr>
          <w:rFonts w:eastAsia="Garamond-Book" w:cs="Garamond-BoldCondensed"/>
          <w:bCs/>
          <w:color w:val="002060"/>
          <w:sz w:val="20"/>
          <w:szCs w:val="20"/>
        </w:rPr>
        <w:t>proposé par la Banque de France, mesure cette vulnérabilité</w:t>
      </w:r>
      <w:r w:rsidR="00BC57A6">
        <w:rPr>
          <w:rFonts w:eastAsia="Garamond-Book" w:cs="Garamond-BoldCondensed"/>
          <w:bCs/>
          <w:color w:val="002060"/>
          <w:sz w:val="20"/>
          <w:szCs w:val="20"/>
        </w:rPr>
        <w:t>.</w:t>
      </w:r>
    </w:p>
    <w:p w:rsidR="005C1D31" w:rsidRPr="00085358" w:rsidRDefault="000461D9" w:rsidP="001027BF">
      <w:pPr>
        <w:autoSpaceDE w:val="0"/>
        <w:autoSpaceDN w:val="0"/>
        <w:adjustRightInd w:val="0"/>
        <w:spacing w:after="120"/>
        <w:ind w:left="340" w:firstLine="0"/>
        <w:jc w:val="both"/>
        <w:rPr>
          <w:rFonts w:eastAsia="Garamond-Book" w:cs="Garamond-Book"/>
          <w:color w:val="7030A0"/>
          <w:sz w:val="20"/>
          <w:szCs w:val="20"/>
        </w:rPr>
      </w:pPr>
      <w:r>
        <w:rPr>
          <w:rFonts w:eastAsia="Garamond-Book" w:cs="Garamond-Book"/>
          <w:color w:val="002060"/>
          <w:sz w:val="20"/>
          <w:szCs w:val="20"/>
        </w:rPr>
        <w:t xml:space="preserve"> </w:t>
      </w:r>
      <w:r w:rsidR="005C1D31" w:rsidRPr="00861B09">
        <w:rPr>
          <w:rFonts w:eastAsia="Garamond-Book" w:cs="Garamond-Book"/>
          <w:color w:val="002060"/>
          <w:sz w:val="20"/>
          <w:szCs w:val="20"/>
        </w:rPr>
        <w:t>Pour la CIPA, on obtient</w:t>
      </w:r>
      <w:r w:rsidR="005C1D31" w:rsidRPr="00085358">
        <w:rPr>
          <w:rFonts w:eastAsia="Garamond-Book" w:cs="Garamond-Book"/>
          <w:color w:val="7030A0"/>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4"/>
        <w:gridCol w:w="1276"/>
        <w:gridCol w:w="1418"/>
        <w:gridCol w:w="1417"/>
      </w:tblGrid>
      <w:tr w:rsidR="001027BF" w:rsidRPr="0057124D" w:rsidTr="001027BF">
        <w:trPr>
          <w:jc w:val="center"/>
        </w:trPr>
        <w:tc>
          <w:tcPr>
            <w:tcW w:w="4214" w:type="dxa"/>
            <w:tcBorders>
              <w:top w:val="single" w:sz="4" w:space="0" w:color="auto"/>
              <w:left w:val="single" w:sz="4" w:space="0" w:color="auto"/>
              <w:bottom w:val="single" w:sz="4" w:space="0" w:color="auto"/>
              <w:right w:val="single" w:sz="4" w:space="0" w:color="FFFFFF" w:themeColor="background1"/>
            </w:tcBorders>
            <w:shd w:val="clear" w:color="auto" w:fill="808080" w:themeFill="background1" w:themeFillShade="80"/>
            <w:vAlign w:val="center"/>
          </w:tcPr>
          <w:p w:rsidR="001027BF" w:rsidRPr="0057124D" w:rsidRDefault="001027BF" w:rsidP="00ED5398">
            <w:pPr>
              <w:autoSpaceDE w:val="0"/>
              <w:autoSpaceDN w:val="0"/>
              <w:adjustRightInd w:val="0"/>
              <w:spacing w:before="120" w:after="120"/>
              <w:ind w:left="0" w:firstLine="0"/>
              <w:jc w:val="both"/>
              <w:rPr>
                <w:rFonts w:cs="Helvetica-Bold"/>
                <w:b/>
                <w:bCs/>
                <w:color w:val="FFFFFF" w:themeColor="background1"/>
                <w:sz w:val="20"/>
                <w:szCs w:val="20"/>
              </w:rPr>
            </w:pPr>
            <w:r w:rsidRPr="0057124D">
              <w:rPr>
                <w:rFonts w:cs="Helvetica-Bold"/>
                <w:b/>
                <w:bCs/>
                <w:color w:val="FFFFFF" w:themeColor="background1"/>
                <w:sz w:val="20"/>
                <w:szCs w:val="20"/>
              </w:rPr>
              <w:t>En K€</w:t>
            </w:r>
          </w:p>
        </w:tc>
        <w:tc>
          <w:tcPr>
            <w:tcW w:w="12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cPr>
          <w:p w:rsidR="001027BF" w:rsidRPr="0057124D" w:rsidRDefault="001027BF" w:rsidP="00ED5398">
            <w:pPr>
              <w:autoSpaceDE w:val="0"/>
              <w:autoSpaceDN w:val="0"/>
              <w:adjustRightInd w:val="0"/>
              <w:spacing w:before="120" w:after="120"/>
              <w:ind w:left="0" w:firstLine="0"/>
              <w:jc w:val="center"/>
              <w:rPr>
                <w:rFonts w:cs="Helvetica-Bold"/>
                <w:b/>
                <w:bCs/>
                <w:color w:val="FFFFFF" w:themeColor="background1"/>
                <w:sz w:val="20"/>
                <w:szCs w:val="20"/>
              </w:rPr>
            </w:pPr>
            <w:r w:rsidRPr="0057124D">
              <w:rPr>
                <w:rFonts w:cs="Helvetica-Bold"/>
                <w:b/>
                <w:bCs/>
                <w:color w:val="FFFFFF" w:themeColor="background1"/>
                <w:sz w:val="20"/>
                <w:szCs w:val="20"/>
              </w:rPr>
              <w:t>2009</w:t>
            </w:r>
          </w:p>
        </w:tc>
        <w:tc>
          <w:tcPr>
            <w:tcW w:w="141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cPr>
          <w:p w:rsidR="001027BF" w:rsidRPr="0057124D" w:rsidRDefault="001027BF" w:rsidP="00ED5398">
            <w:pPr>
              <w:autoSpaceDE w:val="0"/>
              <w:autoSpaceDN w:val="0"/>
              <w:adjustRightInd w:val="0"/>
              <w:spacing w:before="120" w:after="120"/>
              <w:ind w:left="0" w:firstLine="0"/>
              <w:jc w:val="center"/>
              <w:rPr>
                <w:rFonts w:cs="Helvetica-Bold"/>
                <w:b/>
                <w:bCs/>
                <w:color w:val="FFFFFF" w:themeColor="background1"/>
                <w:sz w:val="20"/>
                <w:szCs w:val="20"/>
              </w:rPr>
            </w:pPr>
            <w:r w:rsidRPr="0057124D">
              <w:rPr>
                <w:rFonts w:cs="Helvetica-Bold"/>
                <w:b/>
                <w:bCs/>
                <w:color w:val="FFFFFF" w:themeColor="background1"/>
                <w:sz w:val="20"/>
                <w:szCs w:val="20"/>
              </w:rPr>
              <w:t>2010</w:t>
            </w:r>
          </w:p>
        </w:tc>
        <w:tc>
          <w:tcPr>
            <w:tcW w:w="1417" w:type="dxa"/>
            <w:tcBorders>
              <w:top w:val="single" w:sz="4" w:space="0" w:color="auto"/>
              <w:left w:val="single" w:sz="4" w:space="0" w:color="FFFFFF" w:themeColor="background1"/>
              <w:bottom w:val="single" w:sz="4" w:space="0" w:color="auto"/>
              <w:right w:val="single" w:sz="4" w:space="0" w:color="auto"/>
            </w:tcBorders>
            <w:shd w:val="clear" w:color="auto" w:fill="808080" w:themeFill="background1" w:themeFillShade="80"/>
          </w:tcPr>
          <w:p w:rsidR="001027BF" w:rsidRPr="0057124D" w:rsidRDefault="001027BF" w:rsidP="00ED5398">
            <w:pPr>
              <w:autoSpaceDE w:val="0"/>
              <w:autoSpaceDN w:val="0"/>
              <w:adjustRightInd w:val="0"/>
              <w:spacing w:before="120" w:after="120"/>
              <w:ind w:left="0" w:firstLine="0"/>
              <w:jc w:val="center"/>
              <w:rPr>
                <w:rFonts w:cs="Helvetica-Bold"/>
                <w:b/>
                <w:bCs/>
                <w:color w:val="FFFFFF" w:themeColor="background1"/>
                <w:sz w:val="20"/>
                <w:szCs w:val="20"/>
              </w:rPr>
            </w:pPr>
            <w:r w:rsidRPr="0057124D">
              <w:rPr>
                <w:rFonts w:cs="Helvetica-Bold"/>
                <w:b/>
                <w:bCs/>
                <w:color w:val="FFFFFF" w:themeColor="background1"/>
                <w:sz w:val="20"/>
                <w:szCs w:val="20"/>
              </w:rPr>
              <w:t>2011</w:t>
            </w:r>
          </w:p>
        </w:tc>
      </w:tr>
      <w:tr w:rsidR="001027BF" w:rsidRPr="00085358" w:rsidTr="001027BF">
        <w:trPr>
          <w:jc w:val="center"/>
        </w:trPr>
        <w:tc>
          <w:tcPr>
            <w:tcW w:w="4214" w:type="dxa"/>
            <w:tcBorders>
              <w:top w:val="single" w:sz="4" w:space="0" w:color="auto"/>
            </w:tcBorders>
          </w:tcPr>
          <w:p w:rsidR="001027BF" w:rsidRPr="00861B09" w:rsidRDefault="001027BF" w:rsidP="00ED5398">
            <w:pPr>
              <w:autoSpaceDE w:val="0"/>
              <w:autoSpaceDN w:val="0"/>
              <w:adjustRightInd w:val="0"/>
              <w:spacing w:before="120" w:after="0"/>
              <w:ind w:left="0" w:firstLine="0"/>
              <w:jc w:val="both"/>
              <w:rPr>
                <w:rFonts w:eastAsia="Garamond-Book" w:cs="Helvetica-Bold"/>
                <w:b/>
                <w:bCs/>
                <w:color w:val="002060"/>
                <w:sz w:val="20"/>
                <w:szCs w:val="20"/>
              </w:rPr>
            </w:pPr>
            <w:r w:rsidRPr="00861B09">
              <w:rPr>
                <w:rFonts w:eastAsia="Garamond-Book" w:cs="Helvetica-Bold"/>
                <w:b/>
                <w:bCs/>
                <w:color w:val="002060"/>
                <w:sz w:val="20"/>
                <w:szCs w:val="20"/>
              </w:rPr>
              <w:t>Concours bancaires courants</w:t>
            </w:r>
          </w:p>
          <w:p w:rsidR="001027BF" w:rsidRPr="00861B09" w:rsidRDefault="001027BF" w:rsidP="00ED5398">
            <w:pPr>
              <w:autoSpaceDE w:val="0"/>
              <w:autoSpaceDN w:val="0"/>
              <w:adjustRightInd w:val="0"/>
              <w:spacing w:after="120"/>
              <w:ind w:left="0" w:firstLine="0"/>
              <w:jc w:val="both"/>
              <w:rPr>
                <w:rFonts w:cs="Helvetica-Bold"/>
                <w:b/>
                <w:bCs/>
                <w:color w:val="002060"/>
                <w:sz w:val="20"/>
                <w:szCs w:val="20"/>
              </w:rPr>
            </w:pPr>
            <w:r w:rsidRPr="00861B09">
              <w:rPr>
                <w:rFonts w:eastAsia="Garamond-Book" w:cs="Helvetica"/>
                <w:color w:val="002060"/>
                <w:sz w:val="20"/>
                <w:szCs w:val="20"/>
              </w:rPr>
              <w:t>(y compris EENE)</w:t>
            </w:r>
            <w:r w:rsidRPr="00861B09">
              <w:rPr>
                <w:rFonts w:cs="Helvetica"/>
                <w:color w:val="002060"/>
                <w:sz w:val="20"/>
                <w:szCs w:val="20"/>
              </w:rPr>
              <w:t>)</w:t>
            </w:r>
          </w:p>
        </w:tc>
        <w:tc>
          <w:tcPr>
            <w:tcW w:w="1276" w:type="dxa"/>
            <w:tcBorders>
              <w:top w:val="single" w:sz="4" w:space="0" w:color="auto"/>
            </w:tcBorders>
            <w:vAlign w:val="center"/>
          </w:tcPr>
          <w:p w:rsidR="001027BF" w:rsidRPr="00861B09" w:rsidRDefault="001027BF" w:rsidP="00ED5398">
            <w:pPr>
              <w:autoSpaceDE w:val="0"/>
              <w:autoSpaceDN w:val="0"/>
              <w:adjustRightInd w:val="0"/>
              <w:spacing w:after="0"/>
              <w:ind w:left="0" w:firstLine="0"/>
              <w:jc w:val="right"/>
              <w:rPr>
                <w:rFonts w:cs="Helvetica-Bold"/>
                <w:b/>
                <w:bCs/>
                <w:color w:val="002060"/>
                <w:sz w:val="20"/>
                <w:szCs w:val="20"/>
              </w:rPr>
            </w:pPr>
            <w:r w:rsidRPr="00861B09">
              <w:rPr>
                <w:rFonts w:cs="Helvetica-Bold"/>
                <w:b/>
                <w:bCs/>
                <w:color w:val="002060"/>
                <w:sz w:val="20"/>
                <w:szCs w:val="20"/>
              </w:rPr>
              <w:t>1.185</w:t>
            </w:r>
          </w:p>
        </w:tc>
        <w:tc>
          <w:tcPr>
            <w:tcW w:w="1418" w:type="dxa"/>
            <w:tcBorders>
              <w:top w:val="single" w:sz="4" w:space="0" w:color="auto"/>
            </w:tcBorders>
            <w:vAlign w:val="center"/>
          </w:tcPr>
          <w:p w:rsidR="001027BF" w:rsidRPr="00861B09" w:rsidRDefault="001027BF" w:rsidP="00ED5398">
            <w:pPr>
              <w:autoSpaceDE w:val="0"/>
              <w:autoSpaceDN w:val="0"/>
              <w:adjustRightInd w:val="0"/>
              <w:spacing w:after="0"/>
              <w:ind w:left="0" w:firstLine="0"/>
              <w:jc w:val="right"/>
              <w:rPr>
                <w:rFonts w:cs="Helvetica-Bold"/>
                <w:b/>
                <w:bCs/>
                <w:color w:val="002060"/>
                <w:sz w:val="20"/>
                <w:szCs w:val="20"/>
              </w:rPr>
            </w:pPr>
            <w:r w:rsidRPr="00861B09">
              <w:rPr>
                <w:rFonts w:cs="Helvetica-Bold"/>
                <w:b/>
                <w:bCs/>
                <w:color w:val="002060"/>
                <w:sz w:val="20"/>
                <w:szCs w:val="20"/>
              </w:rPr>
              <w:t>878</w:t>
            </w:r>
          </w:p>
        </w:tc>
        <w:tc>
          <w:tcPr>
            <w:tcW w:w="1417" w:type="dxa"/>
            <w:tcBorders>
              <w:top w:val="single" w:sz="4" w:space="0" w:color="auto"/>
            </w:tcBorders>
            <w:vAlign w:val="center"/>
          </w:tcPr>
          <w:p w:rsidR="001027BF" w:rsidRPr="00861B09" w:rsidRDefault="001027BF" w:rsidP="00ED5398">
            <w:pPr>
              <w:autoSpaceDE w:val="0"/>
              <w:autoSpaceDN w:val="0"/>
              <w:adjustRightInd w:val="0"/>
              <w:spacing w:after="0"/>
              <w:ind w:left="0" w:firstLine="0"/>
              <w:jc w:val="right"/>
              <w:rPr>
                <w:rFonts w:cs="Helvetica-Bold"/>
                <w:b/>
                <w:bCs/>
                <w:color w:val="002060"/>
                <w:sz w:val="20"/>
                <w:szCs w:val="20"/>
              </w:rPr>
            </w:pPr>
            <w:r w:rsidRPr="00861B09">
              <w:rPr>
                <w:rFonts w:cs="Helvetica-Bold"/>
                <w:b/>
                <w:bCs/>
                <w:color w:val="002060"/>
                <w:sz w:val="20"/>
                <w:szCs w:val="20"/>
              </w:rPr>
              <w:t>1.044</w:t>
            </w:r>
          </w:p>
        </w:tc>
      </w:tr>
      <w:tr w:rsidR="001027BF" w:rsidRPr="00085358" w:rsidTr="001027BF">
        <w:trPr>
          <w:jc w:val="center"/>
        </w:trPr>
        <w:tc>
          <w:tcPr>
            <w:tcW w:w="4214" w:type="dxa"/>
          </w:tcPr>
          <w:p w:rsidR="001027BF" w:rsidRPr="00861B09" w:rsidRDefault="001027BF" w:rsidP="00ED5398">
            <w:pPr>
              <w:autoSpaceDE w:val="0"/>
              <w:autoSpaceDN w:val="0"/>
              <w:adjustRightInd w:val="0"/>
              <w:spacing w:before="120" w:after="0"/>
              <w:ind w:left="0" w:firstLine="0"/>
              <w:jc w:val="both"/>
              <w:rPr>
                <w:rFonts w:cs="Helvetica-Bold"/>
                <w:b/>
                <w:bCs/>
                <w:color w:val="002060"/>
                <w:sz w:val="20"/>
                <w:szCs w:val="20"/>
              </w:rPr>
            </w:pPr>
            <w:r w:rsidRPr="00861B09">
              <w:rPr>
                <w:rFonts w:cs="Helvetica-Bold"/>
                <w:b/>
                <w:bCs/>
                <w:color w:val="002060"/>
                <w:sz w:val="20"/>
                <w:szCs w:val="20"/>
              </w:rPr>
              <w:t>Endettement financier</w:t>
            </w:r>
          </w:p>
          <w:p w:rsidR="001027BF" w:rsidRPr="00861B09" w:rsidRDefault="001027BF" w:rsidP="00ED5398">
            <w:pPr>
              <w:autoSpaceDE w:val="0"/>
              <w:autoSpaceDN w:val="0"/>
              <w:adjustRightInd w:val="0"/>
              <w:spacing w:after="120"/>
              <w:ind w:left="0" w:firstLine="0"/>
              <w:jc w:val="both"/>
              <w:rPr>
                <w:rFonts w:cs="Helvetica-Bold"/>
                <w:b/>
                <w:bCs/>
                <w:color w:val="002060"/>
                <w:sz w:val="20"/>
                <w:szCs w:val="20"/>
              </w:rPr>
            </w:pPr>
            <w:r w:rsidRPr="00861B09">
              <w:rPr>
                <w:rFonts w:cs="Helvetica"/>
                <w:color w:val="002060"/>
                <w:sz w:val="20"/>
                <w:szCs w:val="20"/>
              </w:rPr>
              <w:t>(y compris les EENE et engagements de crédit-bail)</w:t>
            </w:r>
          </w:p>
        </w:tc>
        <w:tc>
          <w:tcPr>
            <w:tcW w:w="1276" w:type="dxa"/>
            <w:vAlign w:val="center"/>
          </w:tcPr>
          <w:p w:rsidR="001027BF" w:rsidRPr="00861B09" w:rsidRDefault="001027BF" w:rsidP="00ED5398">
            <w:pPr>
              <w:autoSpaceDE w:val="0"/>
              <w:autoSpaceDN w:val="0"/>
              <w:adjustRightInd w:val="0"/>
              <w:spacing w:after="120"/>
              <w:ind w:left="0" w:firstLine="0"/>
              <w:jc w:val="right"/>
              <w:rPr>
                <w:rFonts w:cs="Helvetica-Bold"/>
                <w:b/>
                <w:bCs/>
                <w:color w:val="002060"/>
                <w:sz w:val="20"/>
                <w:szCs w:val="20"/>
              </w:rPr>
            </w:pPr>
            <w:r w:rsidRPr="00861B09">
              <w:rPr>
                <w:rFonts w:cs="Helvetica-Bold"/>
                <w:b/>
                <w:bCs/>
                <w:color w:val="002060"/>
                <w:sz w:val="20"/>
                <w:szCs w:val="20"/>
              </w:rPr>
              <w:t>2.385</w:t>
            </w:r>
          </w:p>
        </w:tc>
        <w:tc>
          <w:tcPr>
            <w:tcW w:w="1418" w:type="dxa"/>
            <w:vAlign w:val="center"/>
          </w:tcPr>
          <w:p w:rsidR="001027BF" w:rsidRPr="00861B09" w:rsidRDefault="001027BF" w:rsidP="00ED5398">
            <w:pPr>
              <w:autoSpaceDE w:val="0"/>
              <w:autoSpaceDN w:val="0"/>
              <w:adjustRightInd w:val="0"/>
              <w:spacing w:after="120"/>
              <w:ind w:left="0" w:firstLine="0"/>
              <w:jc w:val="right"/>
              <w:rPr>
                <w:rFonts w:cs="Helvetica-Bold"/>
                <w:b/>
                <w:bCs/>
                <w:color w:val="002060"/>
                <w:sz w:val="20"/>
                <w:szCs w:val="20"/>
              </w:rPr>
            </w:pPr>
            <w:r w:rsidRPr="00861B09">
              <w:rPr>
                <w:rFonts w:cs="Helvetica-Bold"/>
                <w:b/>
                <w:bCs/>
                <w:color w:val="002060"/>
                <w:sz w:val="20"/>
                <w:szCs w:val="20"/>
              </w:rPr>
              <w:t>2.007</w:t>
            </w:r>
          </w:p>
        </w:tc>
        <w:tc>
          <w:tcPr>
            <w:tcW w:w="1417" w:type="dxa"/>
            <w:vAlign w:val="center"/>
          </w:tcPr>
          <w:p w:rsidR="001027BF" w:rsidRPr="00861B09" w:rsidRDefault="001027BF" w:rsidP="00ED5398">
            <w:pPr>
              <w:autoSpaceDE w:val="0"/>
              <w:autoSpaceDN w:val="0"/>
              <w:adjustRightInd w:val="0"/>
              <w:spacing w:after="120"/>
              <w:ind w:left="0" w:firstLine="0"/>
              <w:jc w:val="right"/>
              <w:rPr>
                <w:rFonts w:cs="Helvetica-Bold"/>
                <w:b/>
                <w:bCs/>
                <w:color w:val="002060"/>
                <w:sz w:val="20"/>
                <w:szCs w:val="20"/>
              </w:rPr>
            </w:pPr>
            <w:r w:rsidRPr="00861B09">
              <w:rPr>
                <w:rFonts w:cs="Helvetica-Bold"/>
                <w:b/>
                <w:bCs/>
                <w:color w:val="002060"/>
                <w:sz w:val="20"/>
                <w:szCs w:val="20"/>
              </w:rPr>
              <w:t>2.048</w:t>
            </w:r>
          </w:p>
        </w:tc>
      </w:tr>
      <w:tr w:rsidR="001027BF" w:rsidRPr="00085358" w:rsidTr="001027BF">
        <w:trPr>
          <w:jc w:val="center"/>
        </w:trPr>
        <w:tc>
          <w:tcPr>
            <w:tcW w:w="4214" w:type="dxa"/>
          </w:tcPr>
          <w:p w:rsidR="001027BF" w:rsidRPr="00085358" w:rsidRDefault="001027BF" w:rsidP="00ED5398">
            <w:pPr>
              <w:autoSpaceDE w:val="0"/>
              <w:autoSpaceDN w:val="0"/>
              <w:adjustRightInd w:val="0"/>
              <w:spacing w:before="120" w:after="120"/>
              <w:ind w:left="0" w:firstLine="0"/>
              <w:jc w:val="both"/>
              <w:rPr>
                <w:rFonts w:cs="Helvetica-Bold"/>
                <w:b/>
                <w:bCs/>
                <w:color w:val="7030A0"/>
                <w:sz w:val="20"/>
                <w:szCs w:val="20"/>
              </w:rPr>
            </w:pPr>
            <w:r w:rsidRPr="00085358">
              <w:rPr>
                <w:rFonts w:cs="Helvetica-Bold"/>
                <w:b/>
                <w:bCs/>
                <w:color w:val="7030A0"/>
                <w:sz w:val="20"/>
                <w:szCs w:val="20"/>
              </w:rPr>
              <w:t>Ratio de vulnérabilité financière en %</w:t>
            </w:r>
          </w:p>
        </w:tc>
        <w:tc>
          <w:tcPr>
            <w:tcW w:w="1276" w:type="dxa"/>
            <w:vAlign w:val="center"/>
          </w:tcPr>
          <w:p w:rsidR="001027BF" w:rsidRPr="00085358" w:rsidRDefault="001027BF" w:rsidP="00ED5398">
            <w:pPr>
              <w:autoSpaceDE w:val="0"/>
              <w:autoSpaceDN w:val="0"/>
              <w:adjustRightInd w:val="0"/>
              <w:spacing w:after="120"/>
              <w:ind w:left="0" w:firstLine="0"/>
              <w:jc w:val="center"/>
              <w:rPr>
                <w:rFonts w:cs="Helvetica-Bold"/>
                <w:b/>
                <w:bCs/>
                <w:color w:val="7030A0"/>
                <w:sz w:val="20"/>
                <w:szCs w:val="20"/>
              </w:rPr>
            </w:pPr>
            <w:r w:rsidRPr="00085358">
              <w:rPr>
                <w:rFonts w:cs="Helvetica-Bold"/>
                <w:b/>
                <w:bCs/>
                <w:color w:val="7030A0"/>
                <w:sz w:val="20"/>
                <w:szCs w:val="20"/>
              </w:rPr>
              <w:t>48,43%</w:t>
            </w:r>
          </w:p>
        </w:tc>
        <w:tc>
          <w:tcPr>
            <w:tcW w:w="1418" w:type="dxa"/>
            <w:vAlign w:val="center"/>
          </w:tcPr>
          <w:p w:rsidR="001027BF" w:rsidRPr="00085358" w:rsidRDefault="001027BF" w:rsidP="00ED5398">
            <w:pPr>
              <w:autoSpaceDE w:val="0"/>
              <w:autoSpaceDN w:val="0"/>
              <w:adjustRightInd w:val="0"/>
              <w:spacing w:after="120"/>
              <w:ind w:left="0" w:firstLine="0"/>
              <w:jc w:val="center"/>
              <w:rPr>
                <w:rFonts w:cs="Helvetica-Bold"/>
                <w:b/>
                <w:bCs/>
                <w:color w:val="7030A0"/>
                <w:sz w:val="20"/>
                <w:szCs w:val="20"/>
              </w:rPr>
            </w:pPr>
            <w:r w:rsidRPr="00085358">
              <w:rPr>
                <w:rFonts w:cs="Helvetica"/>
                <w:b/>
                <w:color w:val="7030A0"/>
                <w:sz w:val="20"/>
                <w:szCs w:val="20"/>
              </w:rPr>
              <w:t>43,74%</w:t>
            </w:r>
          </w:p>
        </w:tc>
        <w:tc>
          <w:tcPr>
            <w:tcW w:w="1417" w:type="dxa"/>
            <w:vAlign w:val="center"/>
          </w:tcPr>
          <w:p w:rsidR="001027BF" w:rsidRPr="00085358" w:rsidRDefault="001027BF" w:rsidP="00ED5398">
            <w:pPr>
              <w:autoSpaceDE w:val="0"/>
              <w:autoSpaceDN w:val="0"/>
              <w:adjustRightInd w:val="0"/>
              <w:spacing w:after="120"/>
              <w:ind w:left="0" w:firstLine="0"/>
              <w:jc w:val="center"/>
              <w:rPr>
                <w:rFonts w:cs="Helvetica-Bold"/>
                <w:b/>
                <w:bCs/>
                <w:color w:val="7030A0"/>
                <w:sz w:val="20"/>
                <w:szCs w:val="20"/>
              </w:rPr>
            </w:pPr>
            <w:r w:rsidRPr="00085358">
              <w:rPr>
                <w:rFonts w:cs="Helvetica"/>
                <w:b/>
                <w:color w:val="7030A0"/>
                <w:sz w:val="20"/>
                <w:szCs w:val="20"/>
              </w:rPr>
              <w:t>50,98%</w:t>
            </w:r>
          </w:p>
        </w:tc>
      </w:tr>
    </w:tbl>
    <w:p w:rsidR="005C1D31" w:rsidRDefault="005C1D31" w:rsidP="001027BF">
      <w:pPr>
        <w:autoSpaceDE w:val="0"/>
        <w:autoSpaceDN w:val="0"/>
        <w:adjustRightInd w:val="0"/>
        <w:spacing w:before="60" w:after="120"/>
        <w:ind w:left="340" w:firstLine="0"/>
        <w:jc w:val="both"/>
        <w:rPr>
          <w:rFonts w:eastAsia="Garamond-Book" w:cs="Garamond-Book"/>
          <w:color w:val="002060"/>
          <w:sz w:val="20"/>
          <w:szCs w:val="20"/>
        </w:rPr>
      </w:pPr>
      <w:r w:rsidRPr="00861B09">
        <w:rPr>
          <w:rFonts w:eastAsia="Garamond-Book" w:cs="Garamond-Book"/>
          <w:color w:val="002060"/>
          <w:sz w:val="20"/>
          <w:szCs w:val="20"/>
        </w:rPr>
        <w:t>La vuln</w:t>
      </w:r>
      <w:r w:rsidR="0011306F" w:rsidRPr="00861B09">
        <w:rPr>
          <w:rFonts w:eastAsia="Garamond-Book" w:cs="Garamond-Book"/>
          <w:color w:val="002060"/>
          <w:sz w:val="20"/>
          <w:szCs w:val="20"/>
        </w:rPr>
        <w:t>é</w:t>
      </w:r>
      <w:r w:rsidRPr="00861B09">
        <w:rPr>
          <w:rFonts w:eastAsia="Garamond-Book" w:cs="Garamond-Book"/>
          <w:color w:val="002060"/>
          <w:sz w:val="20"/>
          <w:szCs w:val="20"/>
        </w:rPr>
        <w:t>rabilit</w:t>
      </w:r>
      <w:r w:rsidR="0011306F" w:rsidRPr="00861B09">
        <w:rPr>
          <w:rFonts w:eastAsia="Garamond-Book" w:cs="Garamond-Book"/>
          <w:color w:val="002060"/>
          <w:sz w:val="20"/>
          <w:szCs w:val="20"/>
        </w:rPr>
        <w:t>é</w:t>
      </w:r>
      <w:r w:rsidRPr="00861B09">
        <w:rPr>
          <w:rFonts w:eastAsia="Garamond-Book" w:cs="Garamond-Book"/>
          <w:color w:val="002060"/>
          <w:sz w:val="20"/>
          <w:szCs w:val="20"/>
        </w:rPr>
        <w:t xml:space="preserve"> de la CIPA est nette. Les financements courts </w:t>
      </w:r>
      <w:r w:rsidR="0011306F" w:rsidRPr="00861B09">
        <w:rPr>
          <w:rFonts w:eastAsia="Garamond-Book" w:cs="Garamond-Book"/>
          <w:color w:val="002060"/>
          <w:sz w:val="20"/>
          <w:szCs w:val="20"/>
        </w:rPr>
        <w:t>représentent</w:t>
      </w:r>
      <w:r w:rsidRPr="00861B09">
        <w:rPr>
          <w:rFonts w:eastAsia="Garamond-Book" w:cs="Garamond-Book"/>
          <w:color w:val="002060"/>
          <w:sz w:val="20"/>
          <w:szCs w:val="20"/>
        </w:rPr>
        <w:t xml:space="preserve"> plus de la</w:t>
      </w:r>
      <w:r w:rsidR="0011306F" w:rsidRPr="00861B09">
        <w:rPr>
          <w:rFonts w:eastAsia="Garamond-Book" w:cs="Garamond-Book"/>
          <w:color w:val="002060"/>
          <w:sz w:val="20"/>
          <w:szCs w:val="20"/>
        </w:rPr>
        <w:t xml:space="preserve"> </w:t>
      </w:r>
      <w:r w:rsidRPr="00861B09">
        <w:rPr>
          <w:rFonts w:eastAsia="Garamond-Book" w:cs="Garamond-Book"/>
          <w:color w:val="002060"/>
          <w:sz w:val="20"/>
          <w:szCs w:val="20"/>
        </w:rPr>
        <w:t>moiti</w:t>
      </w:r>
      <w:r w:rsidR="0011306F" w:rsidRPr="00861B09">
        <w:rPr>
          <w:rFonts w:eastAsia="Garamond-Book" w:cs="Garamond-Book"/>
          <w:color w:val="002060"/>
          <w:sz w:val="20"/>
          <w:szCs w:val="20"/>
        </w:rPr>
        <w:t>é</w:t>
      </w:r>
      <w:r w:rsidRPr="00861B09">
        <w:rPr>
          <w:rFonts w:eastAsia="Garamond-Book" w:cs="Garamond-Book"/>
          <w:color w:val="002060"/>
          <w:sz w:val="20"/>
          <w:szCs w:val="20"/>
        </w:rPr>
        <w:t xml:space="preserve"> de l’endettement financier, soumettant ainsi l’entreprise aux fluctuations des</w:t>
      </w:r>
      <w:r w:rsidR="0011306F" w:rsidRPr="00861B09">
        <w:rPr>
          <w:rFonts w:eastAsia="Garamond-Book" w:cs="Garamond-Book"/>
          <w:color w:val="002060"/>
          <w:sz w:val="20"/>
          <w:szCs w:val="20"/>
        </w:rPr>
        <w:t xml:space="preserve"> </w:t>
      </w:r>
      <w:r w:rsidRPr="00861B09">
        <w:rPr>
          <w:rFonts w:eastAsia="Garamond-Book" w:cs="Garamond-Book"/>
          <w:color w:val="002060"/>
          <w:sz w:val="20"/>
          <w:szCs w:val="20"/>
        </w:rPr>
        <w:t>taux d’</w:t>
      </w:r>
      <w:r w:rsidR="0011306F" w:rsidRPr="00861B09">
        <w:rPr>
          <w:rFonts w:eastAsia="Garamond-Book" w:cs="Garamond-Book"/>
          <w:color w:val="002060"/>
          <w:sz w:val="20"/>
          <w:szCs w:val="20"/>
        </w:rPr>
        <w:t>intérêt</w:t>
      </w:r>
      <w:r w:rsidRPr="00861B09">
        <w:rPr>
          <w:rFonts w:eastAsia="Garamond-Book" w:cs="Garamond-Book"/>
          <w:color w:val="002060"/>
          <w:sz w:val="20"/>
          <w:szCs w:val="20"/>
        </w:rPr>
        <w:t xml:space="preserve">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court terme (risque de conjoncture) et aux pouvoirs de </w:t>
      </w:r>
      <w:r w:rsidR="0011306F" w:rsidRPr="00861B09">
        <w:rPr>
          <w:rFonts w:eastAsia="Garamond-Book" w:cs="Garamond-Book"/>
          <w:color w:val="002060"/>
          <w:sz w:val="20"/>
          <w:szCs w:val="20"/>
        </w:rPr>
        <w:t xml:space="preserve">négociation </w:t>
      </w:r>
      <w:r w:rsidRPr="00861B09">
        <w:rPr>
          <w:rFonts w:eastAsia="Garamond-Book" w:cs="Garamond-Book"/>
          <w:color w:val="002060"/>
          <w:sz w:val="20"/>
          <w:szCs w:val="20"/>
        </w:rPr>
        <w:t>des banquiers.</w:t>
      </w:r>
    </w:p>
    <w:p w:rsidR="0011306F" w:rsidRPr="005461AB" w:rsidRDefault="0011306F" w:rsidP="000461D9">
      <w:pPr>
        <w:pStyle w:val="Paragraphedeliste"/>
        <w:numPr>
          <w:ilvl w:val="0"/>
          <w:numId w:val="2"/>
        </w:numPr>
        <w:autoSpaceDE w:val="0"/>
        <w:autoSpaceDN w:val="0"/>
        <w:adjustRightInd w:val="0"/>
        <w:ind w:left="170" w:hanging="170"/>
        <w:jc w:val="both"/>
        <w:rPr>
          <w:rFonts w:cs="Helvetica-Condensed-Black"/>
          <w:b/>
          <w:color w:val="002060"/>
          <w:sz w:val="20"/>
          <w:szCs w:val="40"/>
        </w:rPr>
      </w:pPr>
      <w:r w:rsidRPr="005461AB">
        <w:rPr>
          <w:rFonts w:cs="Helvetica-Condensed-Black"/>
          <w:b/>
          <w:color w:val="002060"/>
          <w:sz w:val="20"/>
          <w:szCs w:val="40"/>
        </w:rPr>
        <w:t>Poids de l’endettement</w:t>
      </w:r>
    </w:p>
    <w:p w:rsidR="0011306F" w:rsidRPr="00861B09"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Les ratios de capacité se distinguent des précédents par leur logique de construction.</w:t>
      </w:r>
    </w:p>
    <w:p w:rsidR="0011306F"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lastRenderedPageBreak/>
        <w:t xml:space="preserve">Les ratios de structure s’inscrivent délibérément dans une logique patrimoniale : dans quelle mesure les créanciers </w:t>
      </w:r>
      <w:r w:rsidR="00BC57A6" w:rsidRPr="00861B09">
        <w:rPr>
          <w:rFonts w:eastAsia="Garamond-Book" w:cs="Garamond-Book"/>
          <w:color w:val="002060"/>
          <w:sz w:val="20"/>
          <w:szCs w:val="20"/>
        </w:rPr>
        <w:t>recouvreront-ils</w:t>
      </w:r>
      <w:r w:rsidRPr="00861B09">
        <w:rPr>
          <w:rFonts w:eastAsia="Garamond-Book" w:cs="Garamond-Book"/>
          <w:color w:val="002060"/>
          <w:sz w:val="20"/>
          <w:szCs w:val="20"/>
        </w:rPr>
        <w:t xml:space="preserve"> leurs créances en cas de liquidation de l’entreprise ?</w:t>
      </w:r>
    </w:p>
    <w:p w:rsidR="0011306F" w:rsidRPr="00861B09"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Les ratios de capacité s’inscrivent, quant </w:t>
      </w:r>
      <w:r w:rsidR="007D7FF2" w:rsidRPr="00861B09">
        <w:rPr>
          <w:rFonts w:eastAsia="Garamond-Book" w:cs="Garamond-Book"/>
          <w:color w:val="002060"/>
          <w:sz w:val="20"/>
          <w:szCs w:val="20"/>
        </w:rPr>
        <w:t>à</w:t>
      </w:r>
      <w:r w:rsidRPr="00861B09">
        <w:rPr>
          <w:rFonts w:eastAsia="Garamond-Book" w:cs="Garamond-Book"/>
          <w:color w:val="002060"/>
          <w:sz w:val="20"/>
          <w:szCs w:val="20"/>
        </w:rPr>
        <w:t xml:space="preserve"> eux, dans une logique d’exploitation et visent </w:t>
      </w:r>
      <w:r w:rsidR="006D25D6" w:rsidRPr="00861B09">
        <w:rPr>
          <w:rFonts w:eastAsia="Garamond-Book" w:cs="Garamond-Book"/>
          <w:color w:val="002060"/>
          <w:sz w:val="20"/>
          <w:szCs w:val="20"/>
        </w:rPr>
        <w:t>à</w:t>
      </w:r>
      <w:r w:rsidRPr="00861B09">
        <w:rPr>
          <w:rFonts w:eastAsia="Garamond-Book" w:cs="Garamond-Book"/>
          <w:color w:val="002060"/>
          <w:sz w:val="20"/>
          <w:szCs w:val="20"/>
        </w:rPr>
        <w:t xml:space="preserve"> apprécier le niveau d’endettement supportable par l’entreprise.</w:t>
      </w:r>
    </w:p>
    <w:p w:rsidR="00BC57A6"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Un premier indicateur rapporte le montant des frais financiers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l’EBE, pour apprécier le poids des frais financiers li</w:t>
      </w:r>
      <w:r w:rsidR="00B5319F" w:rsidRPr="00861B09">
        <w:rPr>
          <w:rFonts w:eastAsia="Garamond-Book" w:cs="Garamond-Book"/>
          <w:color w:val="002060"/>
          <w:sz w:val="20"/>
          <w:szCs w:val="20"/>
        </w:rPr>
        <w:t>é</w:t>
      </w:r>
      <w:r w:rsidRPr="00861B09">
        <w:rPr>
          <w:rFonts w:eastAsia="Garamond-Book" w:cs="Garamond-Book"/>
          <w:color w:val="002060"/>
          <w:sz w:val="20"/>
          <w:szCs w:val="20"/>
        </w:rPr>
        <w:t xml:space="preserve">s </w:t>
      </w:r>
      <w:r w:rsidR="00B5319F" w:rsidRPr="00861B09">
        <w:rPr>
          <w:rFonts w:eastAsia="Garamond-Book" w:cs="Garamond-Book"/>
          <w:color w:val="002060"/>
          <w:sz w:val="20"/>
          <w:szCs w:val="20"/>
        </w:rPr>
        <w:t>à</w:t>
      </w:r>
      <w:r w:rsidRPr="00861B09">
        <w:rPr>
          <w:rFonts w:eastAsia="Garamond-Book" w:cs="Garamond-Book"/>
          <w:color w:val="002060"/>
          <w:sz w:val="20"/>
          <w:szCs w:val="20"/>
        </w:rPr>
        <w:t xml:space="preserve"> l’endettement (les frais financiers</w:t>
      </w:r>
      <w:r w:rsidR="00B5319F" w:rsidRPr="00861B09">
        <w:rPr>
          <w:rFonts w:eastAsia="Garamond-Book" w:cs="Garamond-Book"/>
          <w:color w:val="002060"/>
          <w:sz w:val="20"/>
          <w:szCs w:val="20"/>
        </w:rPr>
        <w:t xml:space="preserve"> </w:t>
      </w:r>
      <w:r w:rsidR="007D7FF2" w:rsidRPr="00861B09">
        <w:rPr>
          <w:rFonts w:eastAsia="Garamond-Book" w:cs="Garamond-Book"/>
          <w:color w:val="002060"/>
          <w:sz w:val="20"/>
          <w:szCs w:val="20"/>
        </w:rPr>
        <w:t>à</w:t>
      </w:r>
      <w:r w:rsidRPr="00861B09">
        <w:rPr>
          <w:rFonts w:eastAsia="Garamond-Book" w:cs="Garamond-Book"/>
          <w:color w:val="002060"/>
          <w:sz w:val="20"/>
          <w:szCs w:val="20"/>
        </w:rPr>
        <w:t xml:space="preserve"> prendre en compte sont alors les intérêts et charges assimiles, ligne GR, page 3</w:t>
      </w:r>
      <w:r w:rsidR="00BC57A6">
        <w:rPr>
          <w:rFonts w:eastAsia="Garamond-Book" w:cs="Garamond-Book"/>
          <w:color w:val="002060"/>
          <w:sz w:val="20"/>
          <w:szCs w:val="20"/>
        </w:rPr>
        <w:t xml:space="preserve"> de la liasse</w:t>
      </w:r>
      <w:r w:rsidRPr="00861B09">
        <w:rPr>
          <w:rFonts w:eastAsia="Garamond-Book" w:cs="Garamond-Book"/>
          <w:color w:val="002060"/>
          <w:sz w:val="20"/>
          <w:szCs w:val="20"/>
        </w:rPr>
        <w:t xml:space="preserve">). </w:t>
      </w:r>
    </w:p>
    <w:p w:rsidR="0011306F" w:rsidRPr="00861B09"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Toutefois, le caractère relativement volatile de l’EBE conduit certains analystes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prendre en considération le poids des frais financiers dans le chiffre d’affaires.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3"/>
        <w:gridCol w:w="1276"/>
        <w:gridCol w:w="1274"/>
        <w:gridCol w:w="1371"/>
      </w:tblGrid>
      <w:tr w:rsidR="0057124D" w:rsidRPr="0057124D" w:rsidTr="004979A7">
        <w:trPr>
          <w:jc w:val="center"/>
        </w:trPr>
        <w:tc>
          <w:tcPr>
            <w:tcW w:w="4493" w:type="dxa"/>
            <w:tcBorders>
              <w:right w:val="single" w:sz="4" w:space="0" w:color="FFFFFF" w:themeColor="background1"/>
            </w:tcBorders>
            <w:shd w:val="clear" w:color="auto" w:fill="808080" w:themeFill="background1" w:themeFillShade="80"/>
            <w:vAlign w:val="center"/>
          </w:tcPr>
          <w:p w:rsidR="006D25D6" w:rsidRPr="0057124D" w:rsidRDefault="006D25D6" w:rsidP="00ED5398">
            <w:pPr>
              <w:autoSpaceDE w:val="0"/>
              <w:autoSpaceDN w:val="0"/>
              <w:adjustRightInd w:val="0"/>
              <w:spacing w:before="120" w:after="120"/>
              <w:ind w:left="0" w:firstLine="0"/>
              <w:jc w:val="both"/>
              <w:rPr>
                <w:rFonts w:cs="Helvetica-Bold"/>
                <w:b/>
                <w:bCs/>
                <w:color w:val="FFFFFF" w:themeColor="background1"/>
                <w:sz w:val="20"/>
                <w:szCs w:val="20"/>
              </w:rPr>
            </w:pPr>
            <w:r w:rsidRPr="0057124D">
              <w:rPr>
                <w:rFonts w:cs="Helvetica-Bold"/>
                <w:b/>
                <w:bCs/>
                <w:color w:val="FFFFFF" w:themeColor="background1"/>
                <w:sz w:val="20"/>
                <w:szCs w:val="20"/>
              </w:rPr>
              <w:t>En %</w:t>
            </w:r>
          </w:p>
        </w:tc>
        <w:tc>
          <w:tcPr>
            <w:tcW w:w="1276" w:type="dxa"/>
            <w:tcBorders>
              <w:left w:val="single" w:sz="4" w:space="0" w:color="FFFFFF" w:themeColor="background1"/>
              <w:right w:val="single" w:sz="4" w:space="0" w:color="FFFFFF" w:themeColor="background1"/>
            </w:tcBorders>
            <w:shd w:val="clear" w:color="auto" w:fill="808080" w:themeFill="background1" w:themeFillShade="80"/>
          </w:tcPr>
          <w:p w:rsidR="006D25D6" w:rsidRPr="0057124D" w:rsidRDefault="006D25D6" w:rsidP="00ED5398">
            <w:pPr>
              <w:autoSpaceDE w:val="0"/>
              <w:autoSpaceDN w:val="0"/>
              <w:adjustRightInd w:val="0"/>
              <w:spacing w:before="120" w:after="120"/>
              <w:ind w:left="0" w:firstLine="0"/>
              <w:jc w:val="center"/>
              <w:rPr>
                <w:rFonts w:cs="Helvetica-Bold"/>
                <w:b/>
                <w:bCs/>
                <w:color w:val="FFFFFF" w:themeColor="background1"/>
                <w:sz w:val="20"/>
                <w:szCs w:val="20"/>
              </w:rPr>
            </w:pPr>
            <w:r w:rsidRPr="0057124D">
              <w:rPr>
                <w:rFonts w:cs="Helvetica-Bold"/>
                <w:b/>
                <w:bCs/>
                <w:color w:val="FFFFFF" w:themeColor="background1"/>
                <w:sz w:val="20"/>
                <w:szCs w:val="20"/>
              </w:rPr>
              <w:t>2009</w:t>
            </w:r>
          </w:p>
        </w:tc>
        <w:tc>
          <w:tcPr>
            <w:tcW w:w="1274" w:type="dxa"/>
            <w:tcBorders>
              <w:left w:val="single" w:sz="4" w:space="0" w:color="FFFFFF" w:themeColor="background1"/>
              <w:right w:val="single" w:sz="4" w:space="0" w:color="FFFFFF" w:themeColor="background1"/>
            </w:tcBorders>
            <w:shd w:val="clear" w:color="auto" w:fill="808080" w:themeFill="background1" w:themeFillShade="80"/>
          </w:tcPr>
          <w:p w:rsidR="006D25D6" w:rsidRPr="0057124D" w:rsidRDefault="006D25D6" w:rsidP="00ED5398">
            <w:pPr>
              <w:autoSpaceDE w:val="0"/>
              <w:autoSpaceDN w:val="0"/>
              <w:adjustRightInd w:val="0"/>
              <w:spacing w:before="120" w:after="120"/>
              <w:ind w:left="0" w:firstLine="0"/>
              <w:jc w:val="center"/>
              <w:rPr>
                <w:rFonts w:cs="Helvetica-Bold"/>
                <w:b/>
                <w:bCs/>
                <w:color w:val="FFFFFF" w:themeColor="background1"/>
                <w:sz w:val="20"/>
                <w:szCs w:val="20"/>
              </w:rPr>
            </w:pPr>
            <w:r w:rsidRPr="0057124D">
              <w:rPr>
                <w:rFonts w:cs="Helvetica-Bold"/>
                <w:b/>
                <w:bCs/>
                <w:color w:val="FFFFFF" w:themeColor="background1"/>
                <w:sz w:val="20"/>
                <w:szCs w:val="20"/>
              </w:rPr>
              <w:t>2010</w:t>
            </w:r>
          </w:p>
        </w:tc>
        <w:tc>
          <w:tcPr>
            <w:tcW w:w="1371" w:type="dxa"/>
            <w:tcBorders>
              <w:left w:val="single" w:sz="4" w:space="0" w:color="FFFFFF" w:themeColor="background1"/>
            </w:tcBorders>
            <w:shd w:val="clear" w:color="auto" w:fill="808080" w:themeFill="background1" w:themeFillShade="80"/>
          </w:tcPr>
          <w:p w:rsidR="006D25D6" w:rsidRPr="0057124D" w:rsidRDefault="006D25D6" w:rsidP="00ED5398">
            <w:pPr>
              <w:autoSpaceDE w:val="0"/>
              <w:autoSpaceDN w:val="0"/>
              <w:adjustRightInd w:val="0"/>
              <w:spacing w:before="120" w:after="120"/>
              <w:ind w:left="0" w:firstLine="0"/>
              <w:jc w:val="center"/>
              <w:rPr>
                <w:rFonts w:cs="Helvetica-Bold"/>
                <w:b/>
                <w:bCs/>
                <w:color w:val="FFFFFF" w:themeColor="background1"/>
                <w:sz w:val="20"/>
                <w:szCs w:val="20"/>
              </w:rPr>
            </w:pPr>
            <w:r w:rsidRPr="0057124D">
              <w:rPr>
                <w:rFonts w:cs="Helvetica-Bold"/>
                <w:b/>
                <w:bCs/>
                <w:color w:val="FFFFFF" w:themeColor="background1"/>
                <w:sz w:val="20"/>
                <w:szCs w:val="20"/>
              </w:rPr>
              <w:t>2011</w:t>
            </w:r>
          </w:p>
        </w:tc>
      </w:tr>
      <w:tr w:rsidR="006D25D6" w:rsidRPr="00085358" w:rsidTr="008C73BD">
        <w:trPr>
          <w:jc w:val="center"/>
        </w:trPr>
        <w:tc>
          <w:tcPr>
            <w:tcW w:w="4493" w:type="dxa"/>
            <w:vAlign w:val="center"/>
          </w:tcPr>
          <w:p w:rsidR="006D25D6" w:rsidRPr="00085358" w:rsidRDefault="006D25D6" w:rsidP="00ED5398">
            <w:pPr>
              <w:autoSpaceDE w:val="0"/>
              <w:autoSpaceDN w:val="0"/>
              <w:adjustRightInd w:val="0"/>
              <w:spacing w:before="120" w:after="120"/>
              <w:ind w:left="0" w:firstLine="0"/>
              <w:jc w:val="both"/>
              <w:rPr>
                <w:rFonts w:cs="Helvetica-Bold"/>
                <w:b/>
                <w:bCs/>
                <w:color w:val="7030A0"/>
                <w:sz w:val="20"/>
                <w:szCs w:val="20"/>
              </w:rPr>
            </w:pPr>
            <w:r w:rsidRPr="00085358">
              <w:rPr>
                <w:rFonts w:eastAsia="Garamond-Book" w:cs="Helvetica-Bold"/>
                <w:b/>
                <w:bCs/>
                <w:color w:val="7030A0"/>
                <w:sz w:val="20"/>
                <w:szCs w:val="20"/>
              </w:rPr>
              <w:t>Frais financiers/CA</w:t>
            </w:r>
          </w:p>
        </w:tc>
        <w:tc>
          <w:tcPr>
            <w:tcW w:w="1276"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1,31%</w:t>
            </w:r>
          </w:p>
        </w:tc>
        <w:tc>
          <w:tcPr>
            <w:tcW w:w="1274"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1,46%</w:t>
            </w:r>
          </w:p>
        </w:tc>
        <w:tc>
          <w:tcPr>
            <w:tcW w:w="1371"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1,63%</w:t>
            </w:r>
          </w:p>
        </w:tc>
      </w:tr>
      <w:tr w:rsidR="006D25D6" w:rsidRPr="00085358" w:rsidTr="008C73BD">
        <w:trPr>
          <w:jc w:val="center"/>
        </w:trPr>
        <w:tc>
          <w:tcPr>
            <w:tcW w:w="4493" w:type="dxa"/>
            <w:vAlign w:val="center"/>
          </w:tcPr>
          <w:p w:rsidR="006D25D6" w:rsidRPr="00085358" w:rsidRDefault="006D25D6" w:rsidP="00ED5398">
            <w:pPr>
              <w:autoSpaceDE w:val="0"/>
              <w:autoSpaceDN w:val="0"/>
              <w:adjustRightInd w:val="0"/>
              <w:spacing w:before="120" w:after="120"/>
              <w:ind w:left="0" w:firstLine="0"/>
              <w:jc w:val="both"/>
              <w:rPr>
                <w:rFonts w:cs="Helvetica-Bold"/>
                <w:b/>
                <w:bCs/>
                <w:color w:val="7030A0"/>
                <w:sz w:val="20"/>
                <w:szCs w:val="20"/>
              </w:rPr>
            </w:pPr>
            <w:r w:rsidRPr="00085358">
              <w:rPr>
                <w:rFonts w:eastAsia="Garamond-Book" w:cs="Helvetica-Bold"/>
                <w:b/>
                <w:bCs/>
                <w:color w:val="7030A0"/>
                <w:sz w:val="20"/>
                <w:szCs w:val="20"/>
              </w:rPr>
              <w:t>Frais financiers/EBE</w:t>
            </w:r>
          </w:p>
        </w:tc>
        <w:tc>
          <w:tcPr>
            <w:tcW w:w="1276"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25,73%</w:t>
            </w:r>
          </w:p>
        </w:tc>
        <w:tc>
          <w:tcPr>
            <w:tcW w:w="1274"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33,74%</w:t>
            </w:r>
          </w:p>
        </w:tc>
        <w:tc>
          <w:tcPr>
            <w:tcW w:w="1371"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32,01%</w:t>
            </w:r>
          </w:p>
        </w:tc>
      </w:tr>
    </w:tbl>
    <w:p w:rsidR="0011306F" w:rsidRPr="00861B09" w:rsidRDefault="0011306F" w:rsidP="001027BF">
      <w:pPr>
        <w:shd w:val="clear" w:color="auto" w:fill="FFFFCC"/>
        <w:autoSpaceDE w:val="0"/>
        <w:autoSpaceDN w:val="0"/>
        <w:adjustRightInd w:val="0"/>
        <w:spacing w:before="120"/>
        <w:ind w:left="170" w:firstLine="0"/>
        <w:jc w:val="both"/>
        <w:rPr>
          <w:rFonts w:eastAsia="Garamond-Book" w:cs="Garamond-Book"/>
          <w:color w:val="002060"/>
          <w:sz w:val="20"/>
          <w:szCs w:val="20"/>
        </w:rPr>
      </w:pPr>
      <w:r w:rsidRPr="001027BF">
        <w:rPr>
          <w:rFonts w:eastAsia="Garamond-Book" w:cs="Garamond-Book"/>
          <w:color w:val="002060"/>
          <w:sz w:val="20"/>
          <w:szCs w:val="20"/>
        </w:rPr>
        <w:t xml:space="preserve">Les normes bancaires usuelles </w:t>
      </w:r>
      <w:r w:rsidR="006D25D6" w:rsidRPr="001027BF">
        <w:rPr>
          <w:rFonts w:eastAsia="Garamond-Book" w:cs="Garamond-Book"/>
          <w:color w:val="002060"/>
          <w:sz w:val="20"/>
          <w:szCs w:val="20"/>
        </w:rPr>
        <w:t>considèrent</w:t>
      </w:r>
      <w:r w:rsidRPr="001027BF">
        <w:rPr>
          <w:rFonts w:eastAsia="Garamond-Book" w:cs="Garamond-Book"/>
          <w:color w:val="002060"/>
          <w:sz w:val="20"/>
          <w:szCs w:val="20"/>
        </w:rPr>
        <w:t xml:space="preserve"> que le ratio Frais financiers / EBE fluctue</w:t>
      </w:r>
      <w:r w:rsidR="006D25D6" w:rsidRPr="001027BF">
        <w:rPr>
          <w:rFonts w:eastAsia="Garamond-Book" w:cs="Garamond-Book"/>
          <w:color w:val="002060"/>
          <w:sz w:val="20"/>
          <w:szCs w:val="20"/>
        </w:rPr>
        <w:t xml:space="preserve"> </w:t>
      </w:r>
      <w:r w:rsidRPr="001027BF">
        <w:rPr>
          <w:rFonts w:eastAsia="Garamond-Book" w:cs="Garamond-Book"/>
          <w:color w:val="002060"/>
          <w:sz w:val="20"/>
          <w:szCs w:val="20"/>
        </w:rPr>
        <w:t>entre 30 et 40 % et peut atteindre 50 % dans certaines petites entreprises industrielles.</w:t>
      </w:r>
    </w:p>
    <w:p w:rsidR="0011306F" w:rsidRPr="00861B09"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Le poids des frais financiers de la CIPA n’est donc pas exorbitant par rapport </w:t>
      </w:r>
      <w:r w:rsidR="006D25D6" w:rsidRPr="00861B09">
        <w:rPr>
          <w:rFonts w:eastAsia="Garamond-Book" w:cs="Garamond-Book"/>
          <w:color w:val="002060"/>
          <w:sz w:val="20"/>
          <w:szCs w:val="20"/>
        </w:rPr>
        <w:t>à</w:t>
      </w:r>
      <w:r w:rsidRPr="00861B09">
        <w:rPr>
          <w:rFonts w:eastAsia="Garamond-Book" w:cs="Garamond-Book"/>
          <w:color w:val="002060"/>
          <w:sz w:val="20"/>
          <w:szCs w:val="20"/>
        </w:rPr>
        <w:t xml:space="preserve"> son</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EBE. Pour le ratio Frais financiers / CA, le poids des frais financiers de</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 xml:space="preserve">la CIPA reste </w:t>
      </w:r>
      <w:r w:rsidR="006D25D6" w:rsidRPr="00861B09">
        <w:rPr>
          <w:rFonts w:eastAsia="Garamond-Book" w:cs="Garamond-Book"/>
          <w:color w:val="002060"/>
          <w:sz w:val="20"/>
          <w:szCs w:val="20"/>
        </w:rPr>
        <w:t xml:space="preserve">très </w:t>
      </w:r>
      <w:r w:rsidRPr="00861B09">
        <w:rPr>
          <w:rFonts w:eastAsia="Garamond-Book" w:cs="Garamond-Book"/>
          <w:color w:val="002060"/>
          <w:sz w:val="20"/>
          <w:szCs w:val="20"/>
        </w:rPr>
        <w:t xml:space="preserve">en </w:t>
      </w:r>
      <w:r w:rsidR="006D25D6" w:rsidRPr="00861B09">
        <w:rPr>
          <w:rFonts w:eastAsia="Garamond-Book" w:cs="Garamond-Book"/>
          <w:color w:val="002060"/>
          <w:sz w:val="20"/>
          <w:szCs w:val="20"/>
        </w:rPr>
        <w:t>deçà</w:t>
      </w:r>
      <w:r w:rsidRPr="00861B09">
        <w:rPr>
          <w:rFonts w:eastAsia="Garamond-Book" w:cs="Garamond-Book"/>
          <w:color w:val="002060"/>
          <w:sz w:val="20"/>
          <w:szCs w:val="20"/>
        </w:rPr>
        <w:t xml:space="preserve"> des 4 </w:t>
      </w:r>
      <w:r w:rsidR="000461D9" w:rsidRPr="00861B09">
        <w:rPr>
          <w:rFonts w:eastAsia="Garamond-Book" w:cs="Garamond-Book"/>
          <w:color w:val="002060"/>
          <w:sz w:val="20"/>
          <w:szCs w:val="20"/>
        </w:rPr>
        <w:t>à</w:t>
      </w:r>
      <w:r w:rsidRPr="00861B09">
        <w:rPr>
          <w:rFonts w:eastAsia="Garamond-Book" w:cs="Garamond-Book"/>
          <w:color w:val="002060"/>
          <w:sz w:val="20"/>
          <w:szCs w:val="20"/>
        </w:rPr>
        <w:t xml:space="preserve"> 5 % du chiffre d’affaires, </w:t>
      </w:r>
      <w:r w:rsidR="006D25D6" w:rsidRPr="00861B09">
        <w:rPr>
          <w:rFonts w:eastAsia="Garamond-Book" w:cs="Garamond-Book"/>
          <w:color w:val="002060"/>
          <w:sz w:val="20"/>
          <w:szCs w:val="20"/>
        </w:rPr>
        <w:t>considéré</w:t>
      </w:r>
      <w:r w:rsidRPr="00861B09">
        <w:rPr>
          <w:rFonts w:eastAsia="Garamond-Book" w:cs="Garamond-Book"/>
          <w:color w:val="002060"/>
          <w:sz w:val="20"/>
          <w:szCs w:val="20"/>
        </w:rPr>
        <w:t xml:space="preserve"> par les </w:t>
      </w:r>
      <w:r w:rsidR="006D25D6" w:rsidRPr="00861B09">
        <w:rPr>
          <w:rFonts w:eastAsia="Garamond-Book" w:cs="Garamond-Book"/>
          <w:color w:val="002060"/>
          <w:sz w:val="20"/>
          <w:szCs w:val="20"/>
        </w:rPr>
        <w:t>établissements</w:t>
      </w:r>
      <w:r w:rsidRPr="00861B09">
        <w:rPr>
          <w:rFonts w:eastAsia="Garamond-Book" w:cs="Garamond-Book"/>
          <w:color w:val="002060"/>
          <w:sz w:val="20"/>
          <w:szCs w:val="20"/>
        </w:rPr>
        <w:t xml:space="preserve"> de </w:t>
      </w:r>
      <w:r w:rsidR="006D25D6" w:rsidRPr="00861B09">
        <w:rPr>
          <w:rFonts w:eastAsia="Garamond-Book" w:cs="Garamond-Book"/>
          <w:color w:val="002060"/>
          <w:sz w:val="20"/>
          <w:szCs w:val="20"/>
        </w:rPr>
        <w:t xml:space="preserve">crédit </w:t>
      </w:r>
      <w:r w:rsidRPr="00861B09">
        <w:rPr>
          <w:rFonts w:eastAsia="Garamond-Book" w:cs="Garamond-Book"/>
          <w:color w:val="002060"/>
          <w:sz w:val="20"/>
          <w:szCs w:val="20"/>
        </w:rPr>
        <w:t xml:space="preserve">comme une norme </w:t>
      </w:r>
      <w:r w:rsidR="006D25D6" w:rsidRPr="00861B09">
        <w:rPr>
          <w:rFonts w:eastAsia="Garamond-Book" w:cs="Garamond-Book"/>
          <w:color w:val="002060"/>
          <w:sz w:val="20"/>
          <w:szCs w:val="20"/>
        </w:rPr>
        <w:t>à</w:t>
      </w:r>
      <w:r w:rsidRPr="00861B09">
        <w:rPr>
          <w:rFonts w:eastAsia="Garamond-Book" w:cs="Garamond-Book"/>
          <w:color w:val="002060"/>
          <w:sz w:val="20"/>
          <w:szCs w:val="20"/>
        </w:rPr>
        <w:t xml:space="preserve"> ne pas </w:t>
      </w:r>
      <w:r w:rsidR="006D25D6" w:rsidRPr="00861B09">
        <w:rPr>
          <w:rFonts w:eastAsia="Garamond-Book" w:cs="Garamond-Book"/>
          <w:color w:val="002060"/>
          <w:sz w:val="20"/>
          <w:szCs w:val="20"/>
        </w:rPr>
        <w:t>dépasser</w:t>
      </w:r>
      <w:r w:rsidRPr="00861B09">
        <w:rPr>
          <w:rFonts w:eastAsia="Garamond-Book" w:cs="Garamond-Book"/>
          <w:color w:val="002060"/>
          <w:sz w:val="20"/>
          <w:szCs w:val="20"/>
        </w:rPr>
        <w:t>.</w:t>
      </w:r>
    </w:p>
    <w:p w:rsidR="00BC57A6" w:rsidRDefault="0011306F"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Le rapprochement de l’endettement financier </w:t>
      </w:r>
      <w:r w:rsidR="00BC57A6">
        <w:rPr>
          <w:rFonts w:eastAsia="Garamond-Book" w:cs="Garamond-Book"/>
          <w:color w:val="002060"/>
          <w:sz w:val="20"/>
          <w:szCs w:val="20"/>
        </w:rPr>
        <w:t>à</w:t>
      </w:r>
      <w:r w:rsidRPr="00861B09">
        <w:rPr>
          <w:rFonts w:eastAsia="Garamond-Book" w:cs="Garamond-Book"/>
          <w:color w:val="002060"/>
          <w:sz w:val="20"/>
          <w:szCs w:val="20"/>
        </w:rPr>
        <w:t xml:space="preserve"> la </w:t>
      </w:r>
      <w:r w:rsidR="00BC57A6">
        <w:rPr>
          <w:rFonts w:eastAsia="Garamond-Book" w:cs="Garamond-Book"/>
          <w:color w:val="002060"/>
          <w:sz w:val="20"/>
          <w:szCs w:val="20"/>
        </w:rPr>
        <w:t>capacité d’autofinancement (</w:t>
      </w:r>
      <w:r w:rsidRPr="00861B09">
        <w:rPr>
          <w:rFonts w:eastAsia="Garamond-Book" w:cs="Garamond-Book"/>
          <w:color w:val="002060"/>
          <w:sz w:val="20"/>
          <w:szCs w:val="20"/>
        </w:rPr>
        <w:t>CAF</w:t>
      </w:r>
      <w:r w:rsidR="00BC57A6">
        <w:rPr>
          <w:rFonts w:eastAsia="Garamond-Book" w:cs="Garamond-Book"/>
          <w:color w:val="002060"/>
          <w:sz w:val="20"/>
          <w:szCs w:val="20"/>
        </w:rPr>
        <w:t>)</w:t>
      </w:r>
      <w:r w:rsidRPr="00861B09">
        <w:rPr>
          <w:rFonts w:eastAsia="Garamond-Book" w:cs="Garamond-Book"/>
          <w:color w:val="002060"/>
          <w:sz w:val="20"/>
          <w:szCs w:val="20"/>
        </w:rPr>
        <w:t xml:space="preserve"> </w:t>
      </w:r>
      <w:r w:rsidR="006D25D6" w:rsidRPr="00861B09">
        <w:rPr>
          <w:rFonts w:eastAsia="Garamond-Book" w:cs="Garamond-Book"/>
          <w:color w:val="002060"/>
          <w:sz w:val="20"/>
          <w:szCs w:val="20"/>
        </w:rPr>
        <w:t>apprécie</w:t>
      </w:r>
      <w:r w:rsidRPr="00861B09">
        <w:rPr>
          <w:rFonts w:eastAsia="Garamond-Book" w:cs="Garamond-Book"/>
          <w:color w:val="002060"/>
          <w:sz w:val="20"/>
          <w:szCs w:val="20"/>
        </w:rPr>
        <w:t xml:space="preserve"> la </w:t>
      </w:r>
      <w:r w:rsidR="006D25D6" w:rsidRPr="00861B09">
        <w:rPr>
          <w:rFonts w:eastAsia="Garamond-Book" w:cs="Garamond-Book"/>
          <w:color w:val="002060"/>
          <w:sz w:val="20"/>
          <w:szCs w:val="20"/>
        </w:rPr>
        <w:t>capacité</w:t>
      </w:r>
      <w:r w:rsidRPr="00861B09">
        <w:rPr>
          <w:rFonts w:eastAsia="Garamond-Book" w:cs="Garamond-Book"/>
          <w:color w:val="002060"/>
          <w:sz w:val="20"/>
          <w:szCs w:val="20"/>
        </w:rPr>
        <w:t xml:space="preserve"> de</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 xml:space="preserve">l’entreprise </w:t>
      </w:r>
      <w:r w:rsidR="006D25D6" w:rsidRPr="00861B09">
        <w:rPr>
          <w:rFonts w:eastAsia="Garamond-Book" w:cs="Garamond-Book"/>
          <w:color w:val="002060"/>
          <w:sz w:val="20"/>
          <w:szCs w:val="20"/>
        </w:rPr>
        <w:t>à</w:t>
      </w:r>
      <w:r w:rsidRPr="00861B09">
        <w:rPr>
          <w:rFonts w:eastAsia="Garamond-Book" w:cs="Garamond-Book"/>
          <w:color w:val="002060"/>
          <w:sz w:val="20"/>
          <w:szCs w:val="20"/>
        </w:rPr>
        <w:t xml:space="preserve"> faire face au remboursement de sa dette </w:t>
      </w:r>
      <w:r w:rsidR="006D25D6" w:rsidRPr="00861B09">
        <w:rPr>
          <w:rFonts w:eastAsia="Garamond-Book" w:cs="Garamond-Book"/>
          <w:color w:val="002060"/>
          <w:sz w:val="20"/>
          <w:szCs w:val="20"/>
        </w:rPr>
        <w:t>financière</w:t>
      </w:r>
      <w:r w:rsidRPr="00861B09">
        <w:rPr>
          <w:rFonts w:eastAsia="Garamond-Book" w:cs="Garamond-Book"/>
          <w:color w:val="002060"/>
          <w:sz w:val="20"/>
          <w:szCs w:val="20"/>
        </w:rPr>
        <w:t>. Ce ratio permet</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 xml:space="preserve">de calculer le temps </w:t>
      </w:r>
      <w:r w:rsidR="006D25D6" w:rsidRPr="00861B09">
        <w:rPr>
          <w:rFonts w:eastAsia="Garamond-Book" w:cs="Garamond-Book"/>
          <w:color w:val="002060"/>
          <w:sz w:val="20"/>
          <w:szCs w:val="20"/>
        </w:rPr>
        <w:t>nécessaire</w:t>
      </w:r>
      <w:r w:rsidRPr="00861B09">
        <w:rPr>
          <w:rFonts w:eastAsia="Garamond-Book" w:cs="Garamond-Book"/>
          <w:color w:val="002060"/>
          <w:sz w:val="20"/>
          <w:szCs w:val="20"/>
        </w:rPr>
        <w:t xml:space="preserve">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l’entreprise pour rembourser ses dettes </w:t>
      </w:r>
      <w:r w:rsidR="006D25D6" w:rsidRPr="00861B09">
        <w:rPr>
          <w:rFonts w:eastAsia="Garamond-Book" w:cs="Garamond-Book"/>
          <w:color w:val="002060"/>
          <w:sz w:val="20"/>
          <w:szCs w:val="20"/>
        </w:rPr>
        <w:t xml:space="preserve">financières </w:t>
      </w:r>
      <w:r w:rsidRPr="00861B09">
        <w:rPr>
          <w:rFonts w:eastAsia="Garamond-Book" w:cs="Garamond-Book"/>
          <w:color w:val="002060"/>
          <w:sz w:val="20"/>
          <w:szCs w:val="20"/>
        </w:rPr>
        <w:t xml:space="preserve">si elle affectait la </w:t>
      </w:r>
      <w:r w:rsidR="006D25D6" w:rsidRPr="00861B09">
        <w:rPr>
          <w:rFonts w:eastAsia="Garamond-Book" w:cs="Garamond-Book"/>
          <w:color w:val="002060"/>
          <w:sz w:val="20"/>
          <w:szCs w:val="20"/>
        </w:rPr>
        <w:t>totalité</w:t>
      </w:r>
      <w:r w:rsidRPr="00861B09">
        <w:rPr>
          <w:rFonts w:eastAsia="Garamond-Book" w:cs="Garamond-Book"/>
          <w:color w:val="002060"/>
          <w:sz w:val="20"/>
          <w:szCs w:val="20"/>
        </w:rPr>
        <w:t xml:space="preserve"> de sa CAF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cet effet. </w:t>
      </w:r>
    </w:p>
    <w:p w:rsidR="0011306F" w:rsidRPr="00861B09" w:rsidRDefault="0011306F" w:rsidP="001027BF">
      <w:pPr>
        <w:shd w:val="clear" w:color="auto" w:fill="FFFFCC"/>
        <w:autoSpaceDE w:val="0"/>
        <w:autoSpaceDN w:val="0"/>
        <w:adjustRightInd w:val="0"/>
        <w:spacing w:after="120"/>
        <w:ind w:left="170" w:firstLine="0"/>
        <w:jc w:val="both"/>
        <w:rPr>
          <w:rFonts w:eastAsia="Garamond-Book" w:cs="Garamond-Book"/>
          <w:color w:val="002060"/>
          <w:sz w:val="20"/>
          <w:szCs w:val="20"/>
        </w:rPr>
      </w:pPr>
      <w:r w:rsidRPr="00861B09">
        <w:rPr>
          <w:rFonts w:eastAsia="Garamond-Book" w:cs="Garamond-Book"/>
          <w:color w:val="002060"/>
          <w:sz w:val="20"/>
          <w:szCs w:val="20"/>
        </w:rPr>
        <w:t xml:space="preserve">Ce ratio doit </w:t>
      </w:r>
      <w:r w:rsidR="006D25D6" w:rsidRPr="00861B09">
        <w:rPr>
          <w:rFonts w:eastAsia="Garamond-Book" w:cs="Garamond-Book"/>
          <w:color w:val="002060"/>
          <w:sz w:val="20"/>
          <w:szCs w:val="20"/>
        </w:rPr>
        <w:t>être</w:t>
      </w:r>
      <w:r w:rsidRPr="00861B09">
        <w:rPr>
          <w:rFonts w:eastAsia="Garamond-Book" w:cs="Garamond-Book"/>
          <w:color w:val="002060"/>
          <w:sz w:val="20"/>
          <w:szCs w:val="20"/>
        </w:rPr>
        <w:t xml:space="preserve"> le plus faible possible :</w:t>
      </w:r>
      <w:r w:rsidR="006D25D6" w:rsidRPr="00861B09">
        <w:rPr>
          <w:rFonts w:eastAsia="Garamond-Book" w:cs="Garamond-Book"/>
          <w:color w:val="002060"/>
          <w:sz w:val="20"/>
          <w:szCs w:val="20"/>
        </w:rPr>
        <w:t xml:space="preserve"> </w:t>
      </w:r>
      <w:r w:rsidR="006D25D6" w:rsidRPr="001027BF">
        <w:rPr>
          <w:rFonts w:eastAsia="Garamond-Book" w:cs="Garamond-Book"/>
          <w:color w:val="002060"/>
          <w:sz w:val="20"/>
          <w:szCs w:val="20"/>
        </w:rPr>
        <w:t>les établissements de crédits considèrent</w:t>
      </w:r>
      <w:r w:rsidRPr="001027BF">
        <w:rPr>
          <w:rFonts w:eastAsia="Garamond-Book" w:cs="Garamond-Book"/>
          <w:color w:val="002060"/>
          <w:sz w:val="20"/>
          <w:szCs w:val="20"/>
        </w:rPr>
        <w:t xml:space="preserve"> qu’</w:t>
      </w:r>
      <w:r w:rsidR="000461D9" w:rsidRPr="001027BF">
        <w:rPr>
          <w:rFonts w:eastAsia="Garamond-Book" w:cs="Garamond-Book"/>
          <w:color w:val="002060"/>
          <w:sz w:val="20"/>
          <w:szCs w:val="20"/>
        </w:rPr>
        <w:t>au-delà</w:t>
      </w:r>
      <w:r w:rsidRPr="001027BF">
        <w:rPr>
          <w:rFonts w:eastAsia="Garamond-Book" w:cs="Garamond-Book"/>
          <w:color w:val="002060"/>
          <w:sz w:val="20"/>
          <w:szCs w:val="20"/>
        </w:rPr>
        <w:t xml:space="preserve"> de 3 </w:t>
      </w:r>
      <w:r w:rsidR="000C4BD6" w:rsidRPr="001027BF">
        <w:rPr>
          <w:rFonts w:eastAsia="Garamond-Book" w:cs="Garamond-Book"/>
          <w:color w:val="002060"/>
          <w:sz w:val="20"/>
          <w:szCs w:val="20"/>
        </w:rPr>
        <w:t>à</w:t>
      </w:r>
      <w:r w:rsidRPr="001027BF">
        <w:rPr>
          <w:rFonts w:eastAsia="Garamond-Book" w:cs="Garamond-Book"/>
          <w:color w:val="002060"/>
          <w:sz w:val="20"/>
          <w:szCs w:val="20"/>
        </w:rPr>
        <w:t xml:space="preserve"> 5 ans, l’entreprise est</w:t>
      </w:r>
      <w:r w:rsidR="006D25D6" w:rsidRPr="001027BF">
        <w:rPr>
          <w:rFonts w:eastAsia="Garamond-Book" w:cs="Garamond-Book"/>
          <w:color w:val="002060"/>
          <w:sz w:val="20"/>
          <w:szCs w:val="20"/>
        </w:rPr>
        <w:t xml:space="preserve"> </w:t>
      </w:r>
      <w:r w:rsidRPr="001027BF">
        <w:rPr>
          <w:rFonts w:eastAsia="Garamond-Book" w:cs="Garamond-Book"/>
          <w:color w:val="002060"/>
          <w:sz w:val="20"/>
          <w:szCs w:val="20"/>
        </w:rPr>
        <w:t>dans une situation difficile.</w:t>
      </w:r>
    </w:p>
    <w:p w:rsidR="0011306F" w:rsidRPr="00861B09" w:rsidRDefault="0011306F" w:rsidP="001027BF">
      <w:pPr>
        <w:autoSpaceDE w:val="0"/>
        <w:autoSpaceDN w:val="0"/>
        <w:adjustRightInd w:val="0"/>
        <w:spacing w:after="120"/>
        <w:ind w:left="170" w:firstLine="0"/>
        <w:jc w:val="both"/>
        <w:rPr>
          <w:rFonts w:eastAsia="Garamond-Book" w:cs="Garamond-Book"/>
          <w:color w:val="002060"/>
          <w:sz w:val="20"/>
          <w:szCs w:val="20"/>
        </w:rPr>
      </w:pPr>
      <w:r w:rsidRPr="00861B09">
        <w:rPr>
          <w:rFonts w:eastAsia="Garamond-Book" w:cs="Garamond-Book"/>
          <w:color w:val="002060"/>
          <w:sz w:val="20"/>
          <w:szCs w:val="20"/>
        </w:rPr>
        <w:t>Pour la CIPA, on obtient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3"/>
        <w:gridCol w:w="1276"/>
        <w:gridCol w:w="1274"/>
        <w:gridCol w:w="1371"/>
      </w:tblGrid>
      <w:tr w:rsidR="006D25D6" w:rsidRPr="00085358" w:rsidTr="004979A7">
        <w:trPr>
          <w:jc w:val="center"/>
        </w:trPr>
        <w:tc>
          <w:tcPr>
            <w:tcW w:w="4493" w:type="dxa"/>
            <w:tcBorders>
              <w:right w:val="single" w:sz="4" w:space="0" w:color="FFFFFF" w:themeColor="background1"/>
            </w:tcBorders>
            <w:shd w:val="clear" w:color="auto" w:fill="808080" w:themeFill="background1" w:themeFillShade="80"/>
            <w:vAlign w:val="center"/>
          </w:tcPr>
          <w:p w:rsidR="006D25D6" w:rsidRPr="00A54002" w:rsidRDefault="006D25D6" w:rsidP="00ED5398">
            <w:pPr>
              <w:autoSpaceDE w:val="0"/>
              <w:autoSpaceDN w:val="0"/>
              <w:adjustRightInd w:val="0"/>
              <w:spacing w:before="120" w:after="120"/>
              <w:ind w:left="0" w:firstLine="0"/>
              <w:jc w:val="both"/>
              <w:rPr>
                <w:rFonts w:cs="Helvetica-Bold"/>
                <w:b/>
                <w:bCs/>
                <w:color w:val="FFFFFF"/>
                <w:sz w:val="20"/>
                <w:szCs w:val="20"/>
              </w:rPr>
            </w:pPr>
            <w:r w:rsidRPr="00A54002">
              <w:rPr>
                <w:rFonts w:cs="Helvetica-Bold"/>
                <w:b/>
                <w:bCs/>
                <w:color w:val="FFFFFF"/>
                <w:sz w:val="20"/>
                <w:szCs w:val="20"/>
              </w:rPr>
              <w:t>En %</w:t>
            </w:r>
          </w:p>
        </w:tc>
        <w:tc>
          <w:tcPr>
            <w:tcW w:w="1276" w:type="dxa"/>
            <w:tcBorders>
              <w:left w:val="single" w:sz="4" w:space="0" w:color="FFFFFF" w:themeColor="background1"/>
              <w:right w:val="single" w:sz="4" w:space="0" w:color="FFFFFF" w:themeColor="background1"/>
            </w:tcBorders>
            <w:shd w:val="clear" w:color="auto" w:fill="808080" w:themeFill="background1" w:themeFillShade="80"/>
          </w:tcPr>
          <w:p w:rsidR="006D25D6" w:rsidRPr="00A54002" w:rsidRDefault="006D25D6" w:rsidP="00ED5398">
            <w:pPr>
              <w:autoSpaceDE w:val="0"/>
              <w:autoSpaceDN w:val="0"/>
              <w:adjustRightInd w:val="0"/>
              <w:spacing w:before="120" w:after="120"/>
              <w:ind w:left="0" w:firstLine="0"/>
              <w:jc w:val="center"/>
              <w:rPr>
                <w:rFonts w:cs="Helvetica-Bold"/>
                <w:b/>
                <w:bCs/>
                <w:color w:val="FFFFFF"/>
                <w:sz w:val="20"/>
                <w:szCs w:val="20"/>
              </w:rPr>
            </w:pPr>
            <w:r w:rsidRPr="00A54002">
              <w:rPr>
                <w:rFonts w:cs="Helvetica-Bold"/>
                <w:b/>
                <w:bCs/>
                <w:color w:val="FFFFFF"/>
                <w:sz w:val="20"/>
                <w:szCs w:val="20"/>
              </w:rPr>
              <w:t>2009</w:t>
            </w:r>
          </w:p>
        </w:tc>
        <w:tc>
          <w:tcPr>
            <w:tcW w:w="1274" w:type="dxa"/>
            <w:tcBorders>
              <w:left w:val="single" w:sz="4" w:space="0" w:color="FFFFFF" w:themeColor="background1"/>
              <w:right w:val="single" w:sz="4" w:space="0" w:color="FFFFFF" w:themeColor="background1"/>
            </w:tcBorders>
            <w:shd w:val="clear" w:color="auto" w:fill="808080" w:themeFill="background1" w:themeFillShade="80"/>
          </w:tcPr>
          <w:p w:rsidR="006D25D6" w:rsidRPr="00A54002" w:rsidRDefault="006D25D6" w:rsidP="00ED5398">
            <w:pPr>
              <w:autoSpaceDE w:val="0"/>
              <w:autoSpaceDN w:val="0"/>
              <w:adjustRightInd w:val="0"/>
              <w:spacing w:before="120" w:after="120"/>
              <w:ind w:left="0" w:firstLine="0"/>
              <w:jc w:val="center"/>
              <w:rPr>
                <w:rFonts w:cs="Helvetica-Bold"/>
                <w:b/>
                <w:bCs/>
                <w:color w:val="FFFFFF"/>
                <w:sz w:val="20"/>
                <w:szCs w:val="20"/>
              </w:rPr>
            </w:pPr>
            <w:r w:rsidRPr="00A54002">
              <w:rPr>
                <w:rFonts w:cs="Helvetica-Bold"/>
                <w:b/>
                <w:bCs/>
                <w:color w:val="FFFFFF"/>
                <w:sz w:val="20"/>
                <w:szCs w:val="20"/>
              </w:rPr>
              <w:t>2010</w:t>
            </w:r>
          </w:p>
        </w:tc>
        <w:tc>
          <w:tcPr>
            <w:tcW w:w="1371" w:type="dxa"/>
            <w:tcBorders>
              <w:left w:val="single" w:sz="4" w:space="0" w:color="FFFFFF" w:themeColor="background1"/>
            </w:tcBorders>
            <w:shd w:val="clear" w:color="auto" w:fill="808080" w:themeFill="background1" w:themeFillShade="80"/>
          </w:tcPr>
          <w:p w:rsidR="006D25D6" w:rsidRPr="00A54002" w:rsidRDefault="006D25D6" w:rsidP="00ED5398">
            <w:pPr>
              <w:autoSpaceDE w:val="0"/>
              <w:autoSpaceDN w:val="0"/>
              <w:adjustRightInd w:val="0"/>
              <w:spacing w:before="120" w:after="120"/>
              <w:ind w:left="0" w:firstLine="0"/>
              <w:jc w:val="center"/>
              <w:rPr>
                <w:rFonts w:cs="Helvetica-Bold"/>
                <w:b/>
                <w:bCs/>
                <w:color w:val="FFFFFF"/>
                <w:sz w:val="20"/>
                <w:szCs w:val="20"/>
              </w:rPr>
            </w:pPr>
            <w:r w:rsidRPr="00A54002">
              <w:rPr>
                <w:rFonts w:cs="Helvetica-Bold"/>
                <w:b/>
                <w:bCs/>
                <w:color w:val="FFFFFF"/>
                <w:sz w:val="20"/>
                <w:szCs w:val="20"/>
              </w:rPr>
              <w:t>2011</w:t>
            </w:r>
          </w:p>
        </w:tc>
      </w:tr>
      <w:tr w:rsidR="006D25D6" w:rsidRPr="00085358" w:rsidTr="008C73BD">
        <w:trPr>
          <w:jc w:val="center"/>
        </w:trPr>
        <w:tc>
          <w:tcPr>
            <w:tcW w:w="4493" w:type="dxa"/>
            <w:vAlign w:val="center"/>
          </w:tcPr>
          <w:p w:rsidR="006D25D6" w:rsidRPr="00085358" w:rsidRDefault="006D25D6" w:rsidP="00ED5398">
            <w:pPr>
              <w:autoSpaceDE w:val="0"/>
              <w:autoSpaceDN w:val="0"/>
              <w:adjustRightInd w:val="0"/>
              <w:spacing w:before="120" w:after="120"/>
              <w:ind w:left="0" w:firstLine="0"/>
              <w:jc w:val="both"/>
              <w:rPr>
                <w:rFonts w:cs="Helvetica-Bold"/>
                <w:b/>
                <w:bCs/>
                <w:color w:val="7030A0"/>
                <w:sz w:val="20"/>
                <w:szCs w:val="20"/>
              </w:rPr>
            </w:pPr>
            <w:r w:rsidRPr="00085358">
              <w:rPr>
                <w:rFonts w:eastAsia="Garamond-Book" w:cs="Helvetica-Bold"/>
                <w:b/>
                <w:bCs/>
                <w:color w:val="7030A0"/>
                <w:sz w:val="20"/>
                <w:szCs w:val="20"/>
              </w:rPr>
              <w:t>Endettement financier /CAF</w:t>
            </w:r>
          </w:p>
        </w:tc>
        <w:tc>
          <w:tcPr>
            <w:tcW w:w="1276"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7,55%</w:t>
            </w:r>
          </w:p>
        </w:tc>
        <w:tc>
          <w:tcPr>
            <w:tcW w:w="1274"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6,83%</w:t>
            </w:r>
          </w:p>
        </w:tc>
        <w:tc>
          <w:tcPr>
            <w:tcW w:w="1371" w:type="dxa"/>
            <w:vAlign w:val="center"/>
          </w:tcPr>
          <w:p w:rsidR="006D25D6" w:rsidRPr="00085358" w:rsidRDefault="006D25D6" w:rsidP="00ED5398">
            <w:pPr>
              <w:autoSpaceDE w:val="0"/>
              <w:autoSpaceDN w:val="0"/>
              <w:adjustRightInd w:val="0"/>
              <w:spacing w:after="0"/>
              <w:ind w:left="0" w:firstLine="0"/>
              <w:jc w:val="center"/>
              <w:rPr>
                <w:rFonts w:cs="Helvetica-Bold"/>
                <w:b/>
                <w:bCs/>
                <w:color w:val="7030A0"/>
                <w:sz w:val="20"/>
                <w:szCs w:val="20"/>
              </w:rPr>
            </w:pPr>
            <w:r w:rsidRPr="00085358">
              <w:rPr>
                <w:rFonts w:cs="Helvetica-Bold"/>
                <w:b/>
                <w:bCs/>
                <w:color w:val="7030A0"/>
                <w:sz w:val="20"/>
                <w:szCs w:val="20"/>
              </w:rPr>
              <w:t>6,36%</w:t>
            </w:r>
          </w:p>
        </w:tc>
      </w:tr>
    </w:tbl>
    <w:p w:rsidR="006D25D6" w:rsidRPr="00861B09" w:rsidRDefault="0011306F" w:rsidP="001027BF">
      <w:pPr>
        <w:autoSpaceDE w:val="0"/>
        <w:autoSpaceDN w:val="0"/>
        <w:adjustRightInd w:val="0"/>
        <w:spacing w:before="120" w:after="120"/>
        <w:ind w:left="170" w:firstLine="0"/>
        <w:jc w:val="both"/>
        <w:rPr>
          <w:rFonts w:eastAsia="Garamond-Book" w:cs="Garamond-Book"/>
          <w:color w:val="002060"/>
          <w:sz w:val="20"/>
          <w:szCs w:val="20"/>
        </w:rPr>
      </w:pPr>
      <w:r w:rsidRPr="00861B09">
        <w:rPr>
          <w:rFonts w:eastAsia="Garamond-Book" w:cs="Garamond-Book"/>
          <w:color w:val="002060"/>
          <w:sz w:val="20"/>
          <w:szCs w:val="20"/>
        </w:rPr>
        <w:t>L’</w:t>
      </w:r>
      <w:r w:rsidR="006D25D6" w:rsidRPr="00861B09">
        <w:rPr>
          <w:rFonts w:eastAsia="Garamond-Book" w:cs="Garamond-Book"/>
          <w:color w:val="002060"/>
          <w:sz w:val="20"/>
          <w:szCs w:val="20"/>
        </w:rPr>
        <w:t>amélioration</w:t>
      </w:r>
      <w:r w:rsidRPr="00861B09">
        <w:rPr>
          <w:rFonts w:eastAsia="Garamond-Book" w:cs="Garamond-Book"/>
          <w:color w:val="002060"/>
          <w:sz w:val="20"/>
          <w:szCs w:val="20"/>
        </w:rPr>
        <w:t xml:space="preserve"> de la </w:t>
      </w:r>
      <w:r w:rsidR="006D25D6" w:rsidRPr="00861B09">
        <w:rPr>
          <w:rFonts w:eastAsia="Garamond-Book" w:cs="Garamond-Book"/>
          <w:color w:val="002060"/>
          <w:sz w:val="20"/>
          <w:szCs w:val="20"/>
        </w:rPr>
        <w:t>capacité</w:t>
      </w:r>
      <w:r w:rsidRPr="00861B09">
        <w:rPr>
          <w:rFonts w:eastAsia="Garamond-Book" w:cs="Garamond-Book"/>
          <w:color w:val="002060"/>
          <w:sz w:val="20"/>
          <w:szCs w:val="20"/>
        </w:rPr>
        <w:t xml:space="preserve"> de remboursement de la dette </w:t>
      </w:r>
      <w:r w:rsidR="006D25D6" w:rsidRPr="00861B09">
        <w:rPr>
          <w:rFonts w:eastAsia="Garamond-Book" w:cs="Garamond-Book"/>
          <w:color w:val="002060"/>
          <w:sz w:val="20"/>
          <w:szCs w:val="20"/>
        </w:rPr>
        <w:t>financière</w:t>
      </w:r>
      <w:r w:rsidRPr="00861B09">
        <w:rPr>
          <w:rFonts w:eastAsia="Garamond-Book" w:cs="Garamond-Book"/>
          <w:color w:val="002060"/>
          <w:sz w:val="20"/>
          <w:szCs w:val="20"/>
        </w:rPr>
        <w:t xml:space="preserve"> est sensible</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 xml:space="preserve">sur la </w:t>
      </w:r>
      <w:r w:rsidR="006D25D6" w:rsidRPr="00861B09">
        <w:rPr>
          <w:rFonts w:eastAsia="Garamond-Book" w:cs="Garamond-Book"/>
          <w:color w:val="002060"/>
          <w:sz w:val="20"/>
          <w:szCs w:val="20"/>
        </w:rPr>
        <w:t>période</w:t>
      </w:r>
      <w:r w:rsidRPr="00861B09">
        <w:rPr>
          <w:rFonts w:eastAsia="Garamond-Book" w:cs="Garamond-Book"/>
          <w:color w:val="002060"/>
          <w:sz w:val="20"/>
          <w:szCs w:val="20"/>
        </w:rPr>
        <w:t xml:space="preserve"> </w:t>
      </w:r>
      <w:r w:rsidR="00A54002" w:rsidRPr="00861B09">
        <w:rPr>
          <w:rFonts w:eastAsia="Garamond-Book" w:cs="Garamond-Book"/>
          <w:color w:val="002060"/>
          <w:sz w:val="20"/>
          <w:szCs w:val="20"/>
        </w:rPr>
        <w:t xml:space="preserve">considérée </w:t>
      </w:r>
      <w:r w:rsidRPr="00861B09">
        <w:rPr>
          <w:rFonts w:eastAsia="Garamond-Book" w:cs="Garamond-Book"/>
          <w:color w:val="002060"/>
          <w:sz w:val="20"/>
          <w:szCs w:val="20"/>
        </w:rPr>
        <w:t xml:space="preserve">: l’entreprise a </w:t>
      </w:r>
      <w:r w:rsidR="006D25D6" w:rsidRPr="00861B09">
        <w:rPr>
          <w:rFonts w:eastAsia="Garamond-Book" w:cs="Garamond-Book"/>
          <w:color w:val="002060"/>
          <w:sz w:val="20"/>
          <w:szCs w:val="20"/>
        </w:rPr>
        <w:t>amélior</w:t>
      </w:r>
      <w:r w:rsidR="00A54002" w:rsidRPr="00861B09">
        <w:rPr>
          <w:rFonts w:eastAsia="Garamond-Book" w:cs="Garamond-Book"/>
          <w:color w:val="002060"/>
          <w:sz w:val="20"/>
          <w:szCs w:val="20"/>
        </w:rPr>
        <w:t>é</w:t>
      </w:r>
      <w:r w:rsidRPr="00861B09">
        <w:rPr>
          <w:rFonts w:eastAsia="Garamond-Book" w:cs="Garamond-Book"/>
          <w:color w:val="002060"/>
          <w:sz w:val="20"/>
          <w:szCs w:val="20"/>
        </w:rPr>
        <w:t xml:space="preserve"> son ratio de plus d’un an. Il demeure</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 xml:space="preserve">toutefois </w:t>
      </w:r>
      <w:r w:rsidR="006D25D6" w:rsidRPr="00861B09">
        <w:rPr>
          <w:rFonts w:eastAsia="Garamond-Book" w:cs="Garamond-Book"/>
          <w:color w:val="002060"/>
          <w:sz w:val="20"/>
          <w:szCs w:val="20"/>
        </w:rPr>
        <w:t>très</w:t>
      </w:r>
      <w:r w:rsidRPr="00861B09">
        <w:rPr>
          <w:rFonts w:eastAsia="Garamond-Book" w:cs="Garamond-Book"/>
          <w:color w:val="002060"/>
          <w:sz w:val="20"/>
          <w:szCs w:val="20"/>
        </w:rPr>
        <w:t xml:space="preserve"> largement </w:t>
      </w:r>
      <w:r w:rsidR="006D25D6" w:rsidRPr="00861B09">
        <w:rPr>
          <w:rFonts w:eastAsia="Garamond-Book" w:cs="Garamond-Book"/>
          <w:color w:val="002060"/>
          <w:sz w:val="20"/>
          <w:szCs w:val="20"/>
        </w:rPr>
        <w:t>au-delà des normes couramment admises, matérialisant</w:t>
      </w:r>
      <w:r w:rsidRPr="00861B09">
        <w:rPr>
          <w:rFonts w:eastAsia="Garamond-Book" w:cs="Garamond-Book"/>
          <w:color w:val="002060"/>
          <w:sz w:val="20"/>
          <w:szCs w:val="20"/>
        </w:rPr>
        <w:t xml:space="preserve"> la</w:t>
      </w:r>
      <w:r w:rsidR="006D25D6" w:rsidRPr="00861B09">
        <w:rPr>
          <w:rFonts w:eastAsia="Garamond-Book" w:cs="Garamond-Book"/>
          <w:color w:val="002060"/>
          <w:sz w:val="20"/>
          <w:szCs w:val="20"/>
        </w:rPr>
        <w:t xml:space="preserve"> </w:t>
      </w:r>
      <w:r w:rsidRPr="00861B09">
        <w:rPr>
          <w:rFonts w:eastAsia="Garamond-Book" w:cs="Garamond-Book"/>
          <w:color w:val="002060"/>
          <w:sz w:val="20"/>
          <w:szCs w:val="20"/>
        </w:rPr>
        <w:t xml:space="preserve">faiblesse de la structure </w:t>
      </w:r>
      <w:r w:rsidR="006D25D6" w:rsidRPr="00861B09">
        <w:rPr>
          <w:rFonts w:eastAsia="Garamond-Book" w:cs="Garamond-Book"/>
          <w:color w:val="002060"/>
          <w:sz w:val="20"/>
          <w:szCs w:val="20"/>
        </w:rPr>
        <w:t>financière</w:t>
      </w:r>
      <w:r w:rsidRPr="00861B09">
        <w:rPr>
          <w:rFonts w:eastAsia="Garamond-Book" w:cs="Garamond-Book"/>
          <w:color w:val="002060"/>
          <w:sz w:val="20"/>
          <w:szCs w:val="20"/>
        </w:rPr>
        <w:t xml:space="preserve"> de l’entreprise.</w:t>
      </w:r>
    </w:p>
    <w:p w:rsidR="006D25D6" w:rsidRPr="005461AB" w:rsidRDefault="006D25D6" w:rsidP="000461D9">
      <w:pPr>
        <w:pStyle w:val="Paragraphedeliste"/>
        <w:numPr>
          <w:ilvl w:val="0"/>
          <w:numId w:val="2"/>
        </w:numPr>
        <w:autoSpaceDE w:val="0"/>
        <w:autoSpaceDN w:val="0"/>
        <w:adjustRightInd w:val="0"/>
        <w:ind w:left="170" w:hanging="170"/>
        <w:jc w:val="both"/>
        <w:rPr>
          <w:rFonts w:cs="Helvetica-Condensed-Black"/>
          <w:b/>
          <w:color w:val="002060"/>
          <w:sz w:val="20"/>
          <w:szCs w:val="24"/>
        </w:rPr>
      </w:pPr>
      <w:r w:rsidRPr="005461AB">
        <w:rPr>
          <w:rFonts w:cs="Helvetica-Condensed-Black"/>
          <w:b/>
          <w:color w:val="002060"/>
          <w:sz w:val="20"/>
          <w:szCs w:val="24"/>
        </w:rPr>
        <w:t>Synthèse</w:t>
      </w:r>
      <w:r w:rsidR="008C73BD" w:rsidRPr="005461AB">
        <w:rPr>
          <w:rFonts w:cs="Helvetica-Condensed-Black"/>
          <w:b/>
          <w:color w:val="002060"/>
          <w:sz w:val="20"/>
          <w:szCs w:val="24"/>
        </w:rPr>
        <w:t xml:space="preserve"> : </w:t>
      </w:r>
      <w:r w:rsidRPr="005461AB">
        <w:rPr>
          <w:rFonts w:cs="Helvetica-Condensed-Black"/>
          <w:b/>
          <w:color w:val="002060"/>
          <w:sz w:val="20"/>
          <w:szCs w:val="24"/>
        </w:rPr>
        <w:t>Analyse de l’équilibre financier de la CIPA</w:t>
      </w:r>
    </w:p>
    <w:p w:rsidR="006D25D6" w:rsidRPr="00861B09" w:rsidRDefault="006D25D6" w:rsidP="001027BF">
      <w:pPr>
        <w:autoSpaceDE w:val="0"/>
        <w:autoSpaceDN w:val="0"/>
        <w:adjustRightInd w:val="0"/>
        <w:ind w:left="170" w:firstLine="0"/>
        <w:jc w:val="both"/>
        <w:rPr>
          <w:rFonts w:eastAsia="Garamond-Book" w:cs="Garamond-Book"/>
          <w:color w:val="002060"/>
          <w:sz w:val="20"/>
          <w:szCs w:val="20"/>
        </w:rPr>
      </w:pPr>
      <w:r w:rsidRPr="00861B09">
        <w:rPr>
          <w:rFonts w:eastAsia="Garamond-Book" w:cs="Garamond-Book"/>
          <w:color w:val="002060"/>
          <w:sz w:val="20"/>
          <w:szCs w:val="20"/>
        </w:rPr>
        <w:t>Quel que soit le point de vue adopt</w:t>
      </w:r>
      <w:r w:rsidR="00A54002" w:rsidRPr="00861B09">
        <w:rPr>
          <w:rFonts w:eastAsia="Garamond-Book" w:cs="Garamond-Book"/>
          <w:color w:val="002060"/>
          <w:sz w:val="20"/>
          <w:szCs w:val="20"/>
        </w:rPr>
        <w:t>é</w:t>
      </w:r>
      <w:r w:rsidRPr="00861B09">
        <w:rPr>
          <w:rFonts w:eastAsia="Garamond-Book" w:cs="Garamond-Book"/>
          <w:color w:val="002060"/>
          <w:sz w:val="20"/>
          <w:szCs w:val="20"/>
        </w:rPr>
        <w:t>, l’</w:t>
      </w:r>
      <w:r w:rsidR="008C73BD" w:rsidRPr="00861B09">
        <w:rPr>
          <w:rFonts w:eastAsia="Garamond-Book" w:cs="Garamond-Book"/>
          <w:color w:val="002060"/>
          <w:sz w:val="20"/>
          <w:szCs w:val="20"/>
        </w:rPr>
        <w:t>équilibre</w:t>
      </w:r>
      <w:r w:rsidRPr="00861B09">
        <w:rPr>
          <w:rFonts w:eastAsia="Garamond-Book" w:cs="Garamond-Book"/>
          <w:color w:val="002060"/>
          <w:sz w:val="20"/>
          <w:szCs w:val="20"/>
        </w:rPr>
        <w:t xml:space="preserve"> financier de la CIPA apparait </w:t>
      </w:r>
      <w:r w:rsidR="008C73BD" w:rsidRPr="00861B09">
        <w:rPr>
          <w:rFonts w:eastAsia="Garamond-Book" w:cs="Garamond-Book"/>
          <w:color w:val="002060"/>
          <w:sz w:val="20"/>
          <w:szCs w:val="20"/>
        </w:rPr>
        <w:t>très</w:t>
      </w:r>
      <w:r w:rsidRPr="00861B09">
        <w:rPr>
          <w:rFonts w:eastAsia="Garamond-Book" w:cs="Garamond-Book"/>
          <w:color w:val="002060"/>
          <w:sz w:val="20"/>
          <w:szCs w:val="20"/>
        </w:rPr>
        <w:t xml:space="preserve"> fragile.</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Le niveau </w:t>
      </w:r>
      <w:r w:rsidR="008C73BD" w:rsidRPr="00861B09">
        <w:rPr>
          <w:rFonts w:eastAsia="Garamond-Book" w:cs="Garamond-Book"/>
          <w:color w:val="002060"/>
          <w:sz w:val="20"/>
          <w:szCs w:val="20"/>
        </w:rPr>
        <w:t>intrinsèque</w:t>
      </w:r>
      <w:r w:rsidRPr="00861B09">
        <w:rPr>
          <w:rFonts w:eastAsia="Garamond-Book" w:cs="Garamond-Book"/>
          <w:color w:val="002060"/>
          <w:sz w:val="20"/>
          <w:szCs w:val="20"/>
        </w:rPr>
        <w:t xml:space="preserve"> de l’endettement est trop </w:t>
      </w:r>
      <w:r w:rsidR="008C73BD" w:rsidRPr="00861B09">
        <w:rPr>
          <w:rFonts w:eastAsia="Garamond-Book" w:cs="Garamond-Book"/>
          <w:color w:val="002060"/>
          <w:sz w:val="20"/>
          <w:szCs w:val="20"/>
        </w:rPr>
        <w:t>élevé</w:t>
      </w:r>
      <w:r w:rsidRPr="00861B09">
        <w:rPr>
          <w:rFonts w:eastAsia="Garamond-Book" w:cs="Garamond-Book"/>
          <w:color w:val="002060"/>
          <w:sz w:val="20"/>
          <w:szCs w:val="20"/>
        </w:rPr>
        <w:t xml:space="preserve"> et compromet l’autonomie </w:t>
      </w:r>
      <w:r w:rsidR="008C73BD" w:rsidRPr="00861B09">
        <w:rPr>
          <w:rFonts w:eastAsia="Garamond-Book" w:cs="Garamond-Book"/>
          <w:color w:val="002060"/>
          <w:sz w:val="20"/>
          <w:szCs w:val="20"/>
        </w:rPr>
        <w:t xml:space="preserve">financière </w:t>
      </w:r>
      <w:r w:rsidRPr="00861B09">
        <w:rPr>
          <w:rFonts w:eastAsia="Garamond-Book" w:cs="Garamond-Book"/>
          <w:color w:val="002060"/>
          <w:sz w:val="20"/>
          <w:szCs w:val="20"/>
        </w:rPr>
        <w:t xml:space="preserve">de l’entreprise. La structure interne de cet endettement est trop </w:t>
      </w:r>
      <w:r w:rsidR="008C73BD" w:rsidRPr="00861B09">
        <w:rPr>
          <w:rFonts w:eastAsia="Garamond-Book" w:cs="Garamond-Book"/>
          <w:color w:val="002060"/>
          <w:sz w:val="20"/>
          <w:szCs w:val="20"/>
        </w:rPr>
        <w:t>orientée</w:t>
      </w:r>
      <w:r w:rsidRPr="00861B09">
        <w:rPr>
          <w:rFonts w:eastAsia="Garamond-Book" w:cs="Garamond-Book"/>
          <w:color w:val="002060"/>
          <w:sz w:val="20"/>
          <w:szCs w:val="20"/>
        </w:rPr>
        <w:t xml:space="preserve">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court</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terme, ce qui renforce le pouvoir de </w:t>
      </w:r>
      <w:r w:rsidR="008C73BD" w:rsidRPr="00861B09">
        <w:rPr>
          <w:rFonts w:eastAsia="Garamond-Book" w:cs="Garamond-Book"/>
          <w:color w:val="002060"/>
          <w:sz w:val="20"/>
          <w:szCs w:val="20"/>
        </w:rPr>
        <w:t>négociation</w:t>
      </w:r>
      <w:r w:rsidRPr="00861B09">
        <w:rPr>
          <w:rFonts w:eastAsia="Garamond-Book" w:cs="Garamond-Book"/>
          <w:color w:val="002060"/>
          <w:sz w:val="20"/>
          <w:szCs w:val="20"/>
        </w:rPr>
        <w:t xml:space="preserve"> des banquiers. Le </w:t>
      </w:r>
      <w:r w:rsidR="008C73BD" w:rsidRPr="00861B09">
        <w:rPr>
          <w:rFonts w:eastAsia="Garamond-Book" w:cs="Garamond-Book"/>
          <w:color w:val="002060"/>
          <w:sz w:val="20"/>
          <w:szCs w:val="20"/>
        </w:rPr>
        <w:t>prélèvement</w:t>
      </w:r>
      <w:r w:rsidRPr="00861B09">
        <w:rPr>
          <w:rFonts w:eastAsia="Garamond-Book" w:cs="Garamond-Book"/>
          <w:color w:val="002060"/>
          <w:sz w:val="20"/>
          <w:szCs w:val="20"/>
        </w:rPr>
        <w:t xml:space="preserve"> sur la</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richesse </w:t>
      </w:r>
      <w:r w:rsidR="008C73BD" w:rsidRPr="00861B09">
        <w:rPr>
          <w:rFonts w:eastAsia="Garamond-Book" w:cs="Garamond-Book"/>
          <w:color w:val="002060"/>
          <w:sz w:val="20"/>
          <w:szCs w:val="20"/>
        </w:rPr>
        <w:t>créée</w:t>
      </w:r>
      <w:r w:rsidRPr="00861B09">
        <w:rPr>
          <w:rFonts w:eastAsia="Garamond-Book" w:cs="Garamond-Book"/>
          <w:color w:val="002060"/>
          <w:sz w:val="20"/>
          <w:szCs w:val="20"/>
        </w:rPr>
        <w:t xml:space="preserve"> par les </w:t>
      </w:r>
      <w:r w:rsidR="008C73BD" w:rsidRPr="00861B09">
        <w:rPr>
          <w:rFonts w:eastAsia="Garamond-Book" w:cs="Garamond-Book"/>
          <w:color w:val="002060"/>
          <w:sz w:val="20"/>
          <w:szCs w:val="20"/>
        </w:rPr>
        <w:t>créanciers</w:t>
      </w:r>
      <w:r w:rsidRPr="00861B09">
        <w:rPr>
          <w:rFonts w:eastAsia="Garamond-Book" w:cs="Garamond-Book"/>
          <w:color w:val="002060"/>
          <w:sz w:val="20"/>
          <w:szCs w:val="20"/>
        </w:rPr>
        <w:t xml:space="preserve"> financiers est en </w:t>
      </w:r>
      <w:r w:rsidR="008C73BD" w:rsidRPr="00861B09">
        <w:rPr>
          <w:rFonts w:eastAsia="Garamond-Book" w:cs="Garamond-Book"/>
          <w:color w:val="002060"/>
          <w:sz w:val="20"/>
          <w:szCs w:val="20"/>
        </w:rPr>
        <w:t>conséquence</w:t>
      </w:r>
      <w:r w:rsidRPr="00861B09">
        <w:rPr>
          <w:rFonts w:eastAsia="Garamond-Book" w:cs="Garamond-Book"/>
          <w:color w:val="002060"/>
          <w:sz w:val="20"/>
          <w:szCs w:val="20"/>
        </w:rPr>
        <w:t xml:space="preserve"> trop important. S’il est</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difficile de trouver une note favorable dans ces constats, rappelons </w:t>
      </w:r>
      <w:r w:rsidR="008C73BD" w:rsidRPr="00861B09">
        <w:rPr>
          <w:rFonts w:eastAsia="Garamond-Book" w:cs="Garamond-Book"/>
          <w:color w:val="002060"/>
          <w:sz w:val="20"/>
          <w:szCs w:val="20"/>
        </w:rPr>
        <w:t>néanmoins</w:t>
      </w:r>
      <w:r w:rsidRPr="00861B09">
        <w:rPr>
          <w:rFonts w:eastAsia="Garamond-Book" w:cs="Garamond-Book"/>
          <w:color w:val="002060"/>
          <w:sz w:val="20"/>
          <w:szCs w:val="20"/>
        </w:rPr>
        <w:t xml:space="preserve"> que ce</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n’est pas tant l’endettement qui est trop fort, mais les fonds propres qui sont trop faibles.</w:t>
      </w:r>
    </w:p>
    <w:p w:rsidR="006D25D6" w:rsidRPr="00861B09" w:rsidRDefault="006D25D6" w:rsidP="001027BF">
      <w:pPr>
        <w:autoSpaceDE w:val="0"/>
        <w:autoSpaceDN w:val="0"/>
        <w:adjustRightInd w:val="0"/>
        <w:spacing w:after="120"/>
        <w:ind w:left="170" w:firstLine="0"/>
        <w:jc w:val="both"/>
        <w:rPr>
          <w:rFonts w:eastAsia="Garamond-Book" w:cs="Garamond-Book"/>
          <w:color w:val="002060"/>
          <w:sz w:val="20"/>
          <w:szCs w:val="20"/>
        </w:rPr>
      </w:pPr>
      <w:r w:rsidRPr="00861B09">
        <w:rPr>
          <w:rFonts w:eastAsia="Garamond-Book" w:cs="Garamond-Book"/>
          <w:color w:val="002060"/>
          <w:sz w:val="20"/>
          <w:szCs w:val="20"/>
        </w:rPr>
        <w:t>Tout ceci nous renvoie de nouveau aux contraintes patrimoniales du dirigeant. L’analyse</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du risque de </w:t>
      </w:r>
      <w:r w:rsidR="008C73BD" w:rsidRPr="00861B09">
        <w:rPr>
          <w:rFonts w:eastAsia="Garamond-Book" w:cs="Garamond-Book"/>
          <w:color w:val="002060"/>
          <w:sz w:val="20"/>
          <w:szCs w:val="20"/>
        </w:rPr>
        <w:t>défaillance</w:t>
      </w:r>
      <w:r w:rsidRPr="00861B09">
        <w:rPr>
          <w:rFonts w:eastAsia="Garamond-Book" w:cs="Garamond-Book"/>
          <w:color w:val="002060"/>
          <w:sz w:val="20"/>
          <w:szCs w:val="20"/>
        </w:rPr>
        <w:t xml:space="preserve"> de la CIPA doit nous indiquer si les </w:t>
      </w:r>
      <w:r w:rsidR="008C73BD" w:rsidRPr="00861B09">
        <w:rPr>
          <w:rFonts w:eastAsia="Garamond-Book" w:cs="Garamond-Book"/>
          <w:color w:val="002060"/>
          <w:sz w:val="20"/>
          <w:szCs w:val="20"/>
        </w:rPr>
        <w:t>préoccupations</w:t>
      </w:r>
      <w:r w:rsidRPr="00861B09">
        <w:rPr>
          <w:rFonts w:eastAsia="Garamond-Book" w:cs="Garamond-Book"/>
          <w:color w:val="002060"/>
          <w:sz w:val="20"/>
          <w:szCs w:val="20"/>
        </w:rPr>
        <w:t xml:space="preserve"> patrimoniales</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de M. </w:t>
      </w:r>
      <w:proofErr w:type="spellStart"/>
      <w:r w:rsidRPr="00861B09">
        <w:rPr>
          <w:rFonts w:eastAsia="Garamond-Book" w:cs="Garamond-Book"/>
          <w:color w:val="002060"/>
          <w:sz w:val="20"/>
          <w:szCs w:val="20"/>
        </w:rPr>
        <w:t>Tosi</w:t>
      </w:r>
      <w:proofErr w:type="spellEnd"/>
      <w:r w:rsidRPr="00861B09">
        <w:rPr>
          <w:rFonts w:eastAsia="Garamond-Book" w:cs="Garamond-Book"/>
          <w:color w:val="002060"/>
          <w:sz w:val="20"/>
          <w:szCs w:val="20"/>
        </w:rPr>
        <w:t xml:space="preserve"> ne mettent pas en danger la </w:t>
      </w:r>
      <w:r w:rsidR="008C73BD" w:rsidRPr="00861B09">
        <w:rPr>
          <w:rFonts w:eastAsia="Garamond-Book" w:cs="Garamond-Book"/>
          <w:color w:val="002060"/>
          <w:sz w:val="20"/>
          <w:szCs w:val="20"/>
        </w:rPr>
        <w:t>pérennité</w:t>
      </w:r>
      <w:r w:rsidRPr="00861B09">
        <w:rPr>
          <w:rFonts w:eastAsia="Garamond-Book" w:cs="Garamond-Book"/>
          <w:color w:val="002060"/>
          <w:sz w:val="20"/>
          <w:szCs w:val="20"/>
        </w:rPr>
        <w:t xml:space="preserve"> de l’entreprise.</w:t>
      </w:r>
    </w:p>
    <w:p w:rsidR="006D25D6" w:rsidRPr="005461AB" w:rsidRDefault="006D25D6" w:rsidP="000461D9">
      <w:pPr>
        <w:autoSpaceDE w:val="0"/>
        <w:autoSpaceDN w:val="0"/>
        <w:adjustRightInd w:val="0"/>
        <w:ind w:left="0" w:firstLine="0"/>
        <w:jc w:val="both"/>
        <w:rPr>
          <w:rFonts w:cs="Helvetica-Condensed-Black"/>
          <w:b/>
          <w:color w:val="002060"/>
          <w:sz w:val="21"/>
          <w:szCs w:val="21"/>
        </w:rPr>
      </w:pPr>
      <w:r w:rsidRPr="005461AB">
        <w:rPr>
          <w:rFonts w:cs="Helvetica-Condensed-Black"/>
          <w:b/>
          <w:color w:val="002060"/>
          <w:sz w:val="21"/>
          <w:szCs w:val="21"/>
        </w:rPr>
        <w:t>Démarche générique d’analyse de la structure financière</w:t>
      </w:r>
    </w:p>
    <w:p w:rsidR="006D25D6" w:rsidRPr="00861B09" w:rsidRDefault="006D25D6" w:rsidP="004979A7">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L’analyse de l’endettement d’une entreprise doit </w:t>
      </w:r>
      <w:r w:rsidR="008C73BD" w:rsidRPr="00861B09">
        <w:rPr>
          <w:rFonts w:eastAsia="Garamond-Book" w:cs="Garamond-Book"/>
          <w:color w:val="002060"/>
          <w:sz w:val="20"/>
          <w:szCs w:val="20"/>
        </w:rPr>
        <w:t>être</w:t>
      </w:r>
      <w:r w:rsidRPr="00861B09">
        <w:rPr>
          <w:rFonts w:eastAsia="Garamond-Book" w:cs="Garamond-Book"/>
          <w:color w:val="002060"/>
          <w:sz w:val="20"/>
          <w:szCs w:val="20"/>
        </w:rPr>
        <w:t xml:space="preserve"> </w:t>
      </w:r>
      <w:r w:rsidR="008C73BD" w:rsidRPr="00861B09">
        <w:rPr>
          <w:rFonts w:eastAsia="Garamond-Book" w:cs="Garamond-Book"/>
          <w:color w:val="002060"/>
          <w:sz w:val="20"/>
          <w:szCs w:val="20"/>
        </w:rPr>
        <w:t>conduite</w:t>
      </w:r>
      <w:r w:rsidRPr="00861B09">
        <w:rPr>
          <w:rFonts w:eastAsia="Garamond-Book" w:cs="Garamond-Book"/>
          <w:color w:val="002060"/>
          <w:sz w:val="20"/>
          <w:szCs w:val="20"/>
        </w:rPr>
        <w:t xml:space="preserve"> avec rigueur et minutie.</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 xml:space="preserve">En effet, le montant de l’endettement </w:t>
      </w:r>
      <w:r w:rsidR="008C73BD" w:rsidRPr="00861B09">
        <w:rPr>
          <w:rFonts w:eastAsia="Garamond-Book" w:cs="Garamond-Book"/>
          <w:color w:val="002060"/>
          <w:sz w:val="20"/>
          <w:szCs w:val="20"/>
        </w:rPr>
        <w:t>détermin</w:t>
      </w:r>
      <w:r w:rsidR="00A54002" w:rsidRPr="00861B09">
        <w:rPr>
          <w:rFonts w:eastAsia="Garamond-Book" w:cs="Garamond-Book"/>
          <w:color w:val="002060"/>
          <w:sz w:val="20"/>
          <w:szCs w:val="20"/>
        </w:rPr>
        <w:t>é</w:t>
      </w:r>
      <w:r w:rsidRPr="00861B09">
        <w:rPr>
          <w:rFonts w:eastAsia="Garamond-Book" w:cs="Garamond-Book"/>
          <w:color w:val="002060"/>
          <w:sz w:val="20"/>
          <w:szCs w:val="20"/>
        </w:rPr>
        <w:t xml:space="preserve"> </w:t>
      </w:r>
      <w:r w:rsidR="00A54002" w:rsidRPr="00861B09">
        <w:rPr>
          <w:rFonts w:eastAsia="Garamond-Book" w:cs="Garamond-Book"/>
          <w:color w:val="002060"/>
          <w:sz w:val="20"/>
          <w:szCs w:val="20"/>
        </w:rPr>
        <w:t>à</w:t>
      </w:r>
      <w:r w:rsidRPr="00861B09">
        <w:rPr>
          <w:rFonts w:eastAsia="Garamond-Book" w:cs="Garamond-Book"/>
          <w:color w:val="002060"/>
          <w:sz w:val="20"/>
          <w:szCs w:val="20"/>
        </w:rPr>
        <w:t xml:space="preserve"> partir des </w:t>
      </w:r>
      <w:r w:rsidR="008C73BD" w:rsidRPr="00861B09">
        <w:rPr>
          <w:rFonts w:eastAsia="Garamond-Book" w:cs="Garamond-Book"/>
          <w:color w:val="002060"/>
          <w:sz w:val="20"/>
          <w:szCs w:val="20"/>
        </w:rPr>
        <w:t>états</w:t>
      </w:r>
      <w:r w:rsidRPr="00861B09">
        <w:rPr>
          <w:rFonts w:eastAsia="Garamond-Book" w:cs="Garamond-Book"/>
          <w:color w:val="002060"/>
          <w:sz w:val="20"/>
          <w:szCs w:val="20"/>
        </w:rPr>
        <w:t xml:space="preserve"> comptables n’est pas </w:t>
      </w:r>
      <w:r w:rsidR="008C73BD" w:rsidRPr="00861B09">
        <w:rPr>
          <w:rFonts w:eastAsia="Garamond-Book" w:cs="Garamond-Book"/>
          <w:color w:val="002060"/>
          <w:sz w:val="20"/>
          <w:szCs w:val="20"/>
        </w:rPr>
        <w:t xml:space="preserve">nécessairement </w:t>
      </w:r>
      <w:r w:rsidRPr="00861B09">
        <w:rPr>
          <w:rFonts w:eastAsia="Garamond-Book" w:cs="Garamond-Book"/>
          <w:color w:val="002060"/>
          <w:sz w:val="20"/>
          <w:szCs w:val="20"/>
        </w:rPr>
        <w:t>pertinent pour rendre compte de la situation de l’entreprise (</w:t>
      </w:r>
      <w:r w:rsidR="008C73BD" w:rsidRPr="00861B09">
        <w:rPr>
          <w:rFonts w:eastAsia="Garamond-Book" w:cs="Garamond-Book"/>
          <w:color w:val="002060"/>
          <w:sz w:val="20"/>
          <w:szCs w:val="20"/>
        </w:rPr>
        <w:t>activité</w:t>
      </w:r>
      <w:r w:rsidRPr="00861B09">
        <w:rPr>
          <w:rFonts w:eastAsia="Garamond-Book" w:cs="Garamond-Book"/>
          <w:color w:val="002060"/>
          <w:sz w:val="20"/>
          <w:szCs w:val="20"/>
        </w:rPr>
        <w:t xml:space="preserve"> </w:t>
      </w:r>
      <w:r w:rsidR="008C73BD" w:rsidRPr="00861B09">
        <w:rPr>
          <w:rFonts w:eastAsia="Garamond-Book" w:cs="Garamond-Book"/>
          <w:color w:val="002060"/>
          <w:sz w:val="20"/>
          <w:szCs w:val="20"/>
        </w:rPr>
        <w:t>saisonnière</w:t>
      </w:r>
      <w:r w:rsidRPr="00861B09">
        <w:rPr>
          <w:rFonts w:eastAsia="Garamond-Book" w:cs="Garamond-Book"/>
          <w:color w:val="002060"/>
          <w:sz w:val="20"/>
          <w:szCs w:val="20"/>
        </w:rPr>
        <w:t xml:space="preserve"> par</w:t>
      </w:r>
      <w:r w:rsidR="008C73BD" w:rsidRPr="00861B09">
        <w:rPr>
          <w:rFonts w:eastAsia="Garamond-Book" w:cs="Garamond-Book"/>
          <w:color w:val="002060"/>
          <w:sz w:val="20"/>
          <w:szCs w:val="20"/>
        </w:rPr>
        <w:t xml:space="preserve"> </w:t>
      </w:r>
      <w:r w:rsidRPr="00861B09">
        <w:rPr>
          <w:rFonts w:eastAsia="Garamond-Book" w:cs="Garamond-Book"/>
          <w:color w:val="002060"/>
          <w:sz w:val="20"/>
          <w:szCs w:val="20"/>
        </w:rPr>
        <w:t>exemple</w:t>
      </w:r>
      <w:r w:rsidR="00F42051">
        <w:rPr>
          <w:rFonts w:cs="Garamond-BoldCondensed"/>
          <w:b/>
          <w:bCs/>
          <w:color w:val="002060"/>
          <w:sz w:val="20"/>
          <w:szCs w:val="20"/>
          <w:vertAlign w:val="superscript"/>
        </w:rPr>
        <w:t>1</w:t>
      </w:r>
      <w:r w:rsidRPr="00861B09">
        <w:rPr>
          <w:rFonts w:eastAsia="Garamond-Book" w:cs="Garamond-Book"/>
          <w:color w:val="002060"/>
          <w:sz w:val="20"/>
          <w:szCs w:val="20"/>
        </w:rPr>
        <w:t xml:space="preserve">). L’analyste doit garder </w:t>
      </w:r>
      <w:r w:rsidR="008C73BD" w:rsidRPr="00861B09">
        <w:rPr>
          <w:rFonts w:eastAsia="Garamond-Book" w:cs="Garamond-Book"/>
          <w:color w:val="002060"/>
          <w:sz w:val="20"/>
          <w:szCs w:val="20"/>
        </w:rPr>
        <w:t>à</w:t>
      </w:r>
      <w:r w:rsidRPr="00861B09">
        <w:rPr>
          <w:rFonts w:eastAsia="Garamond-Book" w:cs="Garamond-Book"/>
          <w:color w:val="002060"/>
          <w:sz w:val="20"/>
          <w:szCs w:val="20"/>
        </w:rPr>
        <w:t xml:space="preserve"> l’esprit les effets que des </w:t>
      </w:r>
      <w:r w:rsidR="008C73BD" w:rsidRPr="00861B09">
        <w:rPr>
          <w:rFonts w:eastAsia="Garamond-Book" w:cs="Garamond-Book"/>
          <w:color w:val="002060"/>
          <w:sz w:val="20"/>
          <w:szCs w:val="20"/>
        </w:rPr>
        <w:t>opérations</w:t>
      </w:r>
      <w:r w:rsidRPr="00861B09">
        <w:rPr>
          <w:rFonts w:eastAsia="Garamond-Book" w:cs="Garamond-Book"/>
          <w:color w:val="002060"/>
          <w:sz w:val="20"/>
          <w:szCs w:val="20"/>
        </w:rPr>
        <w:t xml:space="preserve"> d’endettement ou de</w:t>
      </w:r>
      <w:r w:rsidR="008C73BD" w:rsidRPr="00861B09">
        <w:rPr>
          <w:rFonts w:eastAsia="Garamond-Book" w:cs="Garamond-Book"/>
          <w:color w:val="002060"/>
          <w:sz w:val="20"/>
          <w:szCs w:val="20"/>
        </w:rPr>
        <w:t xml:space="preserve"> désendettement</w:t>
      </w:r>
      <w:r w:rsidRPr="00861B09">
        <w:rPr>
          <w:rFonts w:eastAsia="Garamond-Book" w:cs="Garamond-Book"/>
          <w:color w:val="002060"/>
          <w:sz w:val="20"/>
          <w:szCs w:val="20"/>
        </w:rPr>
        <w:t xml:space="preserve"> </w:t>
      </w:r>
      <w:r w:rsidR="008C73BD" w:rsidRPr="00861B09">
        <w:rPr>
          <w:rFonts w:eastAsia="Garamond-Book" w:cs="Garamond-Book"/>
          <w:color w:val="002060"/>
          <w:sz w:val="20"/>
          <w:szCs w:val="20"/>
        </w:rPr>
        <w:t>réalisées</w:t>
      </w:r>
      <w:r w:rsidRPr="00861B09">
        <w:rPr>
          <w:rFonts w:eastAsia="Garamond-Book" w:cs="Garamond-Book"/>
          <w:color w:val="002060"/>
          <w:sz w:val="20"/>
          <w:szCs w:val="20"/>
        </w:rPr>
        <w:t xml:space="preserve"> en fin d’exercice auront sur l’</w:t>
      </w:r>
      <w:r w:rsidR="008C73BD" w:rsidRPr="00861B09">
        <w:rPr>
          <w:rFonts w:eastAsia="Garamond-Book" w:cs="Garamond-Book"/>
          <w:color w:val="002060"/>
          <w:sz w:val="20"/>
          <w:szCs w:val="20"/>
        </w:rPr>
        <w:t>évaluation</w:t>
      </w:r>
      <w:r w:rsidRPr="00861B09">
        <w:rPr>
          <w:rFonts w:eastAsia="Garamond-Book" w:cs="Garamond-Book"/>
          <w:color w:val="002060"/>
          <w:sz w:val="20"/>
          <w:szCs w:val="20"/>
        </w:rPr>
        <w:t xml:space="preserve"> des </w:t>
      </w:r>
      <w:r w:rsidR="008C73BD" w:rsidRPr="00861B09">
        <w:rPr>
          <w:rFonts w:eastAsia="Garamond-Book" w:cs="Garamond-Book"/>
          <w:color w:val="002060"/>
          <w:sz w:val="20"/>
          <w:szCs w:val="20"/>
        </w:rPr>
        <w:t>différents</w:t>
      </w:r>
      <w:r w:rsidRPr="00861B09">
        <w:rPr>
          <w:rFonts w:eastAsia="Garamond-Book" w:cs="Garamond-Book"/>
          <w:color w:val="002060"/>
          <w:sz w:val="20"/>
          <w:szCs w:val="20"/>
        </w:rPr>
        <w:t xml:space="preserve"> ratios.</w:t>
      </w:r>
    </w:p>
    <w:p w:rsidR="006D25D6" w:rsidRPr="00861B09" w:rsidRDefault="006D25D6" w:rsidP="004979A7">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Cette analyse combine plusieurs </w:t>
      </w:r>
      <w:r w:rsidR="008C73BD" w:rsidRPr="00861B09">
        <w:rPr>
          <w:rFonts w:eastAsia="Garamond-Book" w:cs="Garamond-Book"/>
          <w:color w:val="002060"/>
          <w:sz w:val="20"/>
          <w:szCs w:val="20"/>
        </w:rPr>
        <w:t>démarches</w:t>
      </w:r>
      <w:r w:rsidRPr="00861B09">
        <w:rPr>
          <w:rFonts w:eastAsia="Garamond-Book" w:cs="Garamond-Book"/>
          <w:color w:val="002060"/>
          <w:sz w:val="20"/>
          <w:szCs w:val="20"/>
        </w:rPr>
        <w:t xml:space="preserve"> :</w:t>
      </w:r>
    </w:p>
    <w:p w:rsidR="006D25D6" w:rsidRPr="00861B09" w:rsidRDefault="00B5319F" w:rsidP="00BC57A6">
      <w:pPr>
        <w:autoSpaceDE w:val="0"/>
        <w:autoSpaceDN w:val="0"/>
        <w:adjustRightInd w:val="0"/>
        <w:ind w:left="397" w:hanging="397"/>
        <w:jc w:val="both"/>
        <w:rPr>
          <w:rFonts w:eastAsia="Garamond-Book" w:cs="Garamond-Book"/>
          <w:color w:val="002060"/>
          <w:sz w:val="20"/>
          <w:szCs w:val="20"/>
        </w:rPr>
      </w:pPr>
      <w:r w:rsidRPr="00861B09">
        <w:rPr>
          <w:rFonts w:cs="Helvetica-Condensed-Black"/>
          <w:b/>
          <w:color w:val="002060"/>
          <w:sz w:val="20"/>
          <w:szCs w:val="20"/>
        </w:rPr>
        <w:sym w:font="Wingdings" w:char="F0D8"/>
      </w:r>
      <w:r w:rsidRPr="00861B09">
        <w:rPr>
          <w:rFonts w:cs="Helvetica-Condensed-Black"/>
          <w:b/>
          <w:color w:val="002060"/>
          <w:sz w:val="20"/>
          <w:szCs w:val="20"/>
        </w:rPr>
        <w:t xml:space="preserve"> </w:t>
      </w:r>
      <w:r w:rsidR="000461D9">
        <w:rPr>
          <w:rFonts w:cs="Helvetica-Condensed-Black"/>
          <w:b/>
          <w:color w:val="002060"/>
          <w:sz w:val="20"/>
          <w:szCs w:val="20"/>
        </w:rPr>
        <w:t>1.</w:t>
      </w:r>
      <w:r w:rsidR="006D25D6" w:rsidRPr="00861B09">
        <w:rPr>
          <w:rFonts w:cs="Helvetica-Condensed-Black"/>
          <w:color w:val="002060"/>
          <w:sz w:val="20"/>
          <w:szCs w:val="20"/>
        </w:rPr>
        <w:t xml:space="preserve"> </w:t>
      </w:r>
      <w:r w:rsidR="006D25D6" w:rsidRPr="00BC57A6">
        <w:rPr>
          <w:rFonts w:cs="Garamond-BoldCondensed"/>
          <w:bCs/>
          <w:color w:val="002060"/>
          <w:sz w:val="20"/>
          <w:szCs w:val="20"/>
        </w:rPr>
        <w:t>Une appréciation du</w:t>
      </w:r>
      <w:r w:rsidR="006D25D6" w:rsidRPr="00861B09">
        <w:rPr>
          <w:rFonts w:cs="Garamond-BoldCondensed"/>
          <w:b/>
          <w:bCs/>
          <w:color w:val="002060"/>
          <w:sz w:val="20"/>
          <w:szCs w:val="20"/>
        </w:rPr>
        <w:t xml:space="preserve"> niveau de l’endettement </w:t>
      </w:r>
      <w:r w:rsidR="006D25D6" w:rsidRPr="00861B09">
        <w:rPr>
          <w:rFonts w:eastAsia="Garamond-Book" w:cs="Garamond-Book"/>
          <w:color w:val="002060"/>
          <w:sz w:val="20"/>
          <w:szCs w:val="20"/>
        </w:rPr>
        <w:t>pour mesurer le poids relatif des capitaux propres</w:t>
      </w:r>
      <w:r w:rsidR="008C73BD" w:rsidRPr="00861B09">
        <w:rPr>
          <w:rFonts w:eastAsia="Garamond-Book" w:cs="Garamond-Book"/>
          <w:color w:val="002060"/>
          <w:sz w:val="20"/>
          <w:szCs w:val="20"/>
        </w:rPr>
        <w:t xml:space="preserve"> </w:t>
      </w:r>
      <w:r w:rsidR="006D25D6" w:rsidRPr="00861B09">
        <w:rPr>
          <w:rFonts w:eastAsia="Garamond-Book" w:cs="Garamond-Book"/>
          <w:color w:val="002060"/>
          <w:sz w:val="20"/>
          <w:szCs w:val="20"/>
        </w:rPr>
        <w:t xml:space="preserve">et des dettes </w:t>
      </w:r>
      <w:r w:rsidR="008C73BD" w:rsidRPr="00861B09">
        <w:rPr>
          <w:rFonts w:eastAsia="Garamond-Book" w:cs="Garamond-Book"/>
          <w:color w:val="002060"/>
          <w:sz w:val="20"/>
          <w:szCs w:val="20"/>
        </w:rPr>
        <w:t>financières</w:t>
      </w:r>
      <w:r w:rsidR="006D25D6" w:rsidRPr="00861B09">
        <w:rPr>
          <w:rFonts w:eastAsia="Garamond-Book" w:cs="Garamond-Book"/>
          <w:color w:val="002060"/>
          <w:sz w:val="20"/>
          <w:szCs w:val="20"/>
        </w:rPr>
        <w:t xml:space="preserve"> afin d’estimer le </w:t>
      </w:r>
      <w:r w:rsidR="008C73BD" w:rsidRPr="00861B09">
        <w:rPr>
          <w:rFonts w:eastAsia="Garamond-Book" w:cs="Garamond-Book"/>
          <w:color w:val="002060"/>
          <w:sz w:val="20"/>
          <w:szCs w:val="20"/>
        </w:rPr>
        <w:t>degré</w:t>
      </w:r>
      <w:r w:rsidR="006D25D6" w:rsidRPr="00861B09">
        <w:rPr>
          <w:rFonts w:eastAsia="Garamond-Book" w:cs="Garamond-Book"/>
          <w:color w:val="002060"/>
          <w:sz w:val="20"/>
          <w:szCs w:val="20"/>
        </w:rPr>
        <w:t xml:space="preserve"> d’autonomie de l’entreprise par rapport aux</w:t>
      </w:r>
      <w:r w:rsidR="008C73BD" w:rsidRPr="00861B09">
        <w:rPr>
          <w:rFonts w:eastAsia="Garamond-Book" w:cs="Garamond-Book"/>
          <w:color w:val="002060"/>
          <w:sz w:val="20"/>
          <w:szCs w:val="20"/>
        </w:rPr>
        <w:t xml:space="preserve"> </w:t>
      </w:r>
      <w:r w:rsidR="006D25D6" w:rsidRPr="00861B09">
        <w:rPr>
          <w:rFonts w:eastAsia="Garamond-Book" w:cs="Garamond-Book"/>
          <w:color w:val="002060"/>
          <w:sz w:val="20"/>
          <w:szCs w:val="20"/>
        </w:rPr>
        <w:t>banquiers et d’envisager l’</w:t>
      </w:r>
      <w:r w:rsidR="008C73BD" w:rsidRPr="00861B09">
        <w:rPr>
          <w:rFonts w:eastAsia="Garamond-Book" w:cs="Garamond-Book"/>
          <w:color w:val="002060"/>
          <w:sz w:val="20"/>
          <w:szCs w:val="20"/>
        </w:rPr>
        <w:t>évolution</w:t>
      </w:r>
      <w:r w:rsidR="006D25D6" w:rsidRPr="00861B09">
        <w:rPr>
          <w:rFonts w:eastAsia="Garamond-Book" w:cs="Garamond-Book"/>
          <w:color w:val="002060"/>
          <w:sz w:val="20"/>
          <w:szCs w:val="20"/>
        </w:rPr>
        <w:t xml:space="preserve"> de ce rapport.</w:t>
      </w:r>
    </w:p>
    <w:p w:rsidR="006D25D6" w:rsidRPr="00861B09" w:rsidRDefault="00B5319F" w:rsidP="004979A7">
      <w:pPr>
        <w:autoSpaceDE w:val="0"/>
        <w:autoSpaceDN w:val="0"/>
        <w:adjustRightInd w:val="0"/>
        <w:ind w:left="0" w:firstLine="0"/>
        <w:jc w:val="both"/>
        <w:rPr>
          <w:rFonts w:eastAsia="Garamond-Book" w:cs="Garamond-Book"/>
          <w:color w:val="002060"/>
          <w:sz w:val="20"/>
          <w:szCs w:val="20"/>
        </w:rPr>
      </w:pPr>
      <w:r w:rsidRPr="00861B09">
        <w:rPr>
          <w:rFonts w:cs="Helvetica-Condensed-Black"/>
          <w:b/>
          <w:color w:val="002060"/>
          <w:sz w:val="20"/>
          <w:szCs w:val="20"/>
        </w:rPr>
        <w:sym w:font="Wingdings" w:char="F0D8"/>
      </w:r>
      <w:r w:rsidRPr="00861B09">
        <w:rPr>
          <w:rFonts w:cs="Helvetica-Condensed-Black"/>
          <w:b/>
          <w:color w:val="002060"/>
          <w:sz w:val="20"/>
          <w:szCs w:val="20"/>
        </w:rPr>
        <w:t xml:space="preserve"> </w:t>
      </w:r>
      <w:r w:rsidR="000461D9">
        <w:rPr>
          <w:rFonts w:cs="Helvetica-Condensed-Black"/>
          <w:b/>
          <w:color w:val="002060"/>
          <w:sz w:val="20"/>
          <w:szCs w:val="20"/>
        </w:rPr>
        <w:t>2.</w:t>
      </w:r>
      <w:r w:rsidR="006D25D6" w:rsidRPr="00861B09">
        <w:rPr>
          <w:rFonts w:cs="Helvetica-Condensed-Black"/>
          <w:color w:val="002060"/>
          <w:sz w:val="20"/>
          <w:szCs w:val="20"/>
        </w:rPr>
        <w:t xml:space="preserve"> </w:t>
      </w:r>
      <w:r w:rsidR="006D25D6" w:rsidRPr="00BC57A6">
        <w:rPr>
          <w:rFonts w:cs="Garamond-BoldCondensed"/>
          <w:bCs/>
          <w:color w:val="002060"/>
          <w:sz w:val="20"/>
          <w:szCs w:val="20"/>
        </w:rPr>
        <w:t>Une approche de la</w:t>
      </w:r>
      <w:r w:rsidR="006D25D6" w:rsidRPr="00861B09">
        <w:rPr>
          <w:rFonts w:cs="Garamond-BoldCondensed"/>
          <w:b/>
          <w:bCs/>
          <w:color w:val="002060"/>
          <w:sz w:val="20"/>
          <w:szCs w:val="20"/>
        </w:rPr>
        <w:t xml:space="preserve"> structure de l’endettement </w:t>
      </w:r>
      <w:r w:rsidR="006D25D6" w:rsidRPr="00861B09">
        <w:rPr>
          <w:rFonts w:eastAsia="Garamond-Book" w:cs="Garamond-Book"/>
          <w:color w:val="002060"/>
          <w:sz w:val="20"/>
          <w:szCs w:val="20"/>
        </w:rPr>
        <w:t>sous l’</w:t>
      </w:r>
      <w:r w:rsidR="008C73BD" w:rsidRPr="00861B09">
        <w:rPr>
          <w:rFonts w:eastAsia="Garamond-Book" w:cs="Garamond-Book"/>
          <w:color w:val="002060"/>
          <w:sz w:val="20"/>
          <w:szCs w:val="20"/>
        </w:rPr>
        <w:t>éclairage</w:t>
      </w:r>
      <w:r w:rsidR="006D25D6" w:rsidRPr="00861B09">
        <w:rPr>
          <w:rFonts w:eastAsia="Garamond-Book" w:cs="Garamond-Book"/>
          <w:color w:val="002060"/>
          <w:sz w:val="20"/>
          <w:szCs w:val="20"/>
        </w:rPr>
        <w:t xml:space="preserve"> du terme (court ou moyen et long).</w:t>
      </w:r>
    </w:p>
    <w:p w:rsidR="006D25D6" w:rsidRPr="00861B09" w:rsidRDefault="00B5319F" w:rsidP="00BC57A6">
      <w:pPr>
        <w:autoSpaceDE w:val="0"/>
        <w:autoSpaceDN w:val="0"/>
        <w:adjustRightInd w:val="0"/>
        <w:ind w:left="397" w:hanging="397"/>
        <w:jc w:val="both"/>
        <w:rPr>
          <w:rFonts w:eastAsia="Garamond-Book" w:cs="Garamond-Book"/>
          <w:color w:val="002060"/>
          <w:sz w:val="20"/>
          <w:szCs w:val="20"/>
        </w:rPr>
      </w:pPr>
      <w:r w:rsidRPr="00861B09">
        <w:rPr>
          <w:rFonts w:cs="Helvetica-Condensed-Black"/>
          <w:b/>
          <w:color w:val="002060"/>
          <w:sz w:val="20"/>
          <w:szCs w:val="20"/>
        </w:rPr>
        <w:sym w:font="Wingdings" w:char="F0D8"/>
      </w:r>
      <w:r w:rsidRPr="00861B09">
        <w:rPr>
          <w:rFonts w:cs="Helvetica-Condensed-Black"/>
          <w:b/>
          <w:color w:val="002060"/>
          <w:sz w:val="20"/>
          <w:szCs w:val="20"/>
        </w:rPr>
        <w:t xml:space="preserve"> </w:t>
      </w:r>
      <w:r w:rsidR="000461D9">
        <w:rPr>
          <w:rFonts w:cs="Helvetica-Condensed-Black"/>
          <w:b/>
          <w:color w:val="002060"/>
          <w:sz w:val="20"/>
          <w:szCs w:val="20"/>
        </w:rPr>
        <w:t>3.</w:t>
      </w:r>
      <w:r w:rsidR="006D25D6" w:rsidRPr="00861B09">
        <w:rPr>
          <w:rFonts w:cs="Helvetica-Condensed-Black"/>
          <w:color w:val="002060"/>
          <w:sz w:val="20"/>
          <w:szCs w:val="20"/>
        </w:rPr>
        <w:t xml:space="preserve"> </w:t>
      </w:r>
      <w:r w:rsidR="006D25D6" w:rsidRPr="00BC57A6">
        <w:rPr>
          <w:rFonts w:cs="Garamond-BoldCondensed"/>
          <w:bCs/>
          <w:color w:val="002060"/>
          <w:sz w:val="20"/>
          <w:szCs w:val="20"/>
        </w:rPr>
        <w:t>Une évaluation de la</w:t>
      </w:r>
      <w:r w:rsidR="006D25D6" w:rsidRPr="00861B09">
        <w:rPr>
          <w:rFonts w:cs="Garamond-BoldCondensed"/>
          <w:b/>
          <w:bCs/>
          <w:color w:val="002060"/>
          <w:sz w:val="20"/>
          <w:szCs w:val="20"/>
        </w:rPr>
        <w:t xml:space="preserve"> capacité d’endettement </w:t>
      </w:r>
      <w:r w:rsidR="006D25D6" w:rsidRPr="00861B09">
        <w:rPr>
          <w:rFonts w:eastAsia="Garamond-Book" w:cs="Garamond-Book"/>
          <w:color w:val="002060"/>
          <w:sz w:val="20"/>
          <w:szCs w:val="20"/>
        </w:rPr>
        <w:t xml:space="preserve">au regard de la </w:t>
      </w:r>
      <w:r w:rsidR="008C73BD" w:rsidRPr="00861B09">
        <w:rPr>
          <w:rFonts w:eastAsia="Garamond-Book" w:cs="Garamond-Book"/>
          <w:color w:val="002060"/>
          <w:sz w:val="20"/>
          <w:szCs w:val="20"/>
        </w:rPr>
        <w:t>faculté</w:t>
      </w:r>
      <w:r w:rsidR="006D25D6" w:rsidRPr="00861B09">
        <w:rPr>
          <w:rFonts w:eastAsia="Garamond-Book" w:cs="Garamond-Book"/>
          <w:color w:val="002060"/>
          <w:sz w:val="20"/>
          <w:szCs w:val="20"/>
        </w:rPr>
        <w:t xml:space="preserve"> de l’entreprise </w:t>
      </w:r>
      <w:r w:rsidR="00A54002" w:rsidRPr="00861B09">
        <w:rPr>
          <w:rFonts w:eastAsia="Garamond-Book" w:cs="Garamond-Book"/>
          <w:color w:val="002060"/>
          <w:sz w:val="20"/>
          <w:szCs w:val="20"/>
        </w:rPr>
        <w:t>à</w:t>
      </w:r>
      <w:r w:rsidR="006D25D6" w:rsidRPr="00861B09">
        <w:rPr>
          <w:rFonts w:eastAsia="Garamond-Book" w:cs="Garamond-Book"/>
          <w:color w:val="002060"/>
          <w:sz w:val="20"/>
          <w:szCs w:val="20"/>
        </w:rPr>
        <w:t xml:space="preserve"> payer les</w:t>
      </w:r>
      <w:r w:rsidR="008C73BD" w:rsidRPr="00861B09">
        <w:rPr>
          <w:rFonts w:eastAsia="Garamond-Book" w:cs="Garamond-Book"/>
          <w:color w:val="002060"/>
          <w:sz w:val="20"/>
          <w:szCs w:val="20"/>
        </w:rPr>
        <w:t xml:space="preserve"> </w:t>
      </w:r>
      <w:r w:rsidR="006D25D6" w:rsidRPr="00861B09">
        <w:rPr>
          <w:rFonts w:eastAsia="Garamond-Book" w:cs="Garamond-Book"/>
          <w:color w:val="002060"/>
          <w:sz w:val="20"/>
          <w:szCs w:val="20"/>
        </w:rPr>
        <w:t xml:space="preserve">frais financiers </w:t>
      </w:r>
      <w:r w:rsidR="008C73BD" w:rsidRPr="00861B09">
        <w:rPr>
          <w:rFonts w:eastAsia="Garamond-Book" w:cs="Garamond-Book"/>
          <w:color w:val="002060"/>
          <w:sz w:val="20"/>
          <w:szCs w:val="20"/>
        </w:rPr>
        <w:t>afférents</w:t>
      </w:r>
      <w:r w:rsidR="006D25D6" w:rsidRPr="00861B09">
        <w:rPr>
          <w:rFonts w:eastAsia="Garamond-Book" w:cs="Garamond-Book"/>
          <w:color w:val="002060"/>
          <w:sz w:val="20"/>
          <w:szCs w:val="20"/>
        </w:rPr>
        <w:t xml:space="preserve"> et </w:t>
      </w:r>
      <w:r w:rsidR="00A54002" w:rsidRPr="00861B09">
        <w:rPr>
          <w:rFonts w:eastAsia="Garamond-Book" w:cs="Garamond-Book"/>
          <w:color w:val="002060"/>
          <w:sz w:val="20"/>
          <w:szCs w:val="20"/>
        </w:rPr>
        <w:t>à</w:t>
      </w:r>
      <w:r w:rsidR="006D25D6" w:rsidRPr="00861B09">
        <w:rPr>
          <w:rFonts w:eastAsia="Garamond-Book" w:cs="Garamond-Book"/>
          <w:color w:val="002060"/>
          <w:sz w:val="20"/>
          <w:szCs w:val="20"/>
        </w:rPr>
        <w:t xml:space="preserve"> rembourser ses dettes.</w:t>
      </w:r>
    </w:p>
    <w:p w:rsidR="0023661C" w:rsidRDefault="00F42051" w:rsidP="00EE3ACD">
      <w:pPr>
        <w:autoSpaceDE w:val="0"/>
        <w:autoSpaceDN w:val="0"/>
        <w:adjustRightInd w:val="0"/>
        <w:spacing w:after="120"/>
        <w:ind w:left="113" w:hanging="113"/>
        <w:jc w:val="both"/>
        <w:rPr>
          <w:rFonts w:cs="Garamond-BookCondensed"/>
          <w:color w:val="002060"/>
          <w:sz w:val="18"/>
          <w:szCs w:val="16"/>
        </w:rPr>
      </w:pPr>
      <w:r>
        <w:rPr>
          <w:rFonts w:asciiTheme="minorHAnsi" w:hAnsiTheme="minorHAnsi" w:cs="Garamond-BoldCondensed"/>
          <w:b/>
          <w:bCs/>
          <w:color w:val="002060"/>
          <w:sz w:val="18"/>
          <w:szCs w:val="16"/>
          <w:vertAlign w:val="superscript"/>
        </w:rPr>
        <w:t>1</w:t>
      </w:r>
      <w:r w:rsidR="008C73BD" w:rsidRPr="00861B09">
        <w:rPr>
          <w:rFonts w:ascii="Garamond-BoldCondensed" w:hAnsi="Garamond-BoldCondensed" w:cs="Garamond-BoldCondensed"/>
          <w:b/>
          <w:bCs/>
          <w:color w:val="002060"/>
          <w:sz w:val="18"/>
          <w:szCs w:val="16"/>
        </w:rPr>
        <w:t xml:space="preserve"> </w:t>
      </w:r>
      <w:r w:rsidR="008C73BD" w:rsidRPr="00861B09">
        <w:rPr>
          <w:rFonts w:cs="Garamond-BookCondensed"/>
          <w:color w:val="002060"/>
          <w:sz w:val="18"/>
          <w:szCs w:val="16"/>
        </w:rPr>
        <w:t xml:space="preserve">Entre autres, l’analyste doit vérifier la pertinence des comptes sociaux pour rendre compte de la situation de l’entreprise. Il apprécie en particulier si le montant des dettes qui figurent au bilan est bien proportionné à celui des frais financiers (taux d’intérêt apparent). Cela </w:t>
      </w:r>
      <w:r w:rsidR="008C73BD" w:rsidRPr="00861B09">
        <w:rPr>
          <w:rFonts w:cs="Garamond-BookCondensed"/>
          <w:color w:val="002060"/>
          <w:sz w:val="18"/>
          <w:szCs w:val="16"/>
        </w:rPr>
        <w:lastRenderedPageBreak/>
        <w:t>permet d’éviter une analyse financière fondée sur des comptes arrêtés à une date opportune par rapport à un cycle d’activité saisonnier (au moment où la situation financière est la plus favorable, sachant que le bilan est une photographie à un moment précis du patrimoine de l’entreprise).</w:t>
      </w:r>
    </w:p>
    <w:p w:rsidR="00EE3ACD" w:rsidRPr="00861B09" w:rsidRDefault="00EE3ACD" w:rsidP="00EE3ACD">
      <w:pPr>
        <w:autoSpaceDE w:val="0"/>
        <w:autoSpaceDN w:val="0"/>
        <w:adjustRightInd w:val="0"/>
        <w:ind w:left="0" w:firstLine="0"/>
        <w:jc w:val="both"/>
        <w:rPr>
          <w:rFonts w:eastAsia="Garamond-Book" w:cs="Garamond-Book"/>
          <w:color w:val="002060"/>
          <w:sz w:val="20"/>
          <w:szCs w:val="20"/>
        </w:rPr>
      </w:pPr>
      <w:r w:rsidRPr="00861B09">
        <w:rPr>
          <w:rFonts w:eastAsia="Garamond-Book" w:cs="Garamond-Book"/>
          <w:color w:val="002060"/>
          <w:sz w:val="20"/>
          <w:szCs w:val="20"/>
        </w:rPr>
        <w:t xml:space="preserve">Le tableau page </w:t>
      </w:r>
      <w:r>
        <w:rPr>
          <w:rFonts w:eastAsia="Garamond-Book" w:cs="Garamond-Book"/>
          <w:color w:val="002060"/>
          <w:sz w:val="20"/>
          <w:szCs w:val="20"/>
        </w:rPr>
        <w:t>ci-dessous</w:t>
      </w:r>
      <w:r w:rsidRPr="00861B09">
        <w:rPr>
          <w:rFonts w:eastAsia="Garamond-Book" w:cs="Garamond-Book"/>
          <w:color w:val="002060"/>
          <w:sz w:val="20"/>
          <w:szCs w:val="20"/>
        </w:rPr>
        <w:t xml:space="preserve"> reprend les principales questions, les indicateurs associes et les commentaires envisageables.</w:t>
      </w:r>
    </w:p>
    <w:p w:rsidR="008C73BD" w:rsidRPr="00085358" w:rsidRDefault="00F42051" w:rsidP="00ED5398">
      <w:pPr>
        <w:autoSpaceDE w:val="0"/>
        <w:autoSpaceDN w:val="0"/>
        <w:adjustRightInd w:val="0"/>
        <w:spacing w:after="0"/>
        <w:ind w:left="0" w:firstLine="0"/>
        <w:jc w:val="both"/>
        <w:rPr>
          <w:rFonts w:cs="Garamond-BookCondensed"/>
          <w:color w:val="7030A0"/>
          <w:sz w:val="16"/>
          <w:szCs w:val="16"/>
        </w:rPr>
      </w:pPr>
      <w:r w:rsidRPr="00F42051">
        <w:rPr>
          <w:noProof/>
          <w:lang w:eastAsia="fr-FR"/>
        </w:rPr>
        <w:drawing>
          <wp:inline distT="0" distB="0" distL="0" distR="0">
            <wp:extent cx="6479540" cy="7083801"/>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7083801"/>
                    </a:xfrm>
                    <a:prstGeom prst="rect">
                      <a:avLst/>
                    </a:prstGeom>
                    <a:noFill/>
                    <a:ln>
                      <a:noFill/>
                    </a:ln>
                  </pic:spPr>
                </pic:pic>
              </a:graphicData>
            </a:graphic>
          </wp:inline>
        </w:drawing>
      </w:r>
    </w:p>
    <w:p w:rsidR="008C73BD" w:rsidRDefault="008C73BD" w:rsidP="008C73BD">
      <w:pPr>
        <w:autoSpaceDE w:val="0"/>
        <w:autoSpaceDN w:val="0"/>
        <w:adjustRightInd w:val="0"/>
        <w:spacing w:after="0"/>
        <w:ind w:left="0" w:firstLine="0"/>
        <w:rPr>
          <w:rFonts w:cs="Garamond-BookCondensed"/>
          <w:sz w:val="16"/>
          <w:szCs w:val="16"/>
        </w:rPr>
      </w:pPr>
    </w:p>
    <w:p w:rsidR="00F42051" w:rsidRPr="00F42051" w:rsidRDefault="00F42051" w:rsidP="00F42051">
      <w:pPr>
        <w:spacing w:after="0"/>
        <w:ind w:left="170" w:hanging="170"/>
        <w:jc w:val="both"/>
        <w:rPr>
          <w:rFonts w:asciiTheme="minorHAnsi" w:eastAsiaTheme="minorHAnsi" w:hAnsiTheme="minorHAnsi" w:cstheme="minorBidi"/>
        </w:rPr>
      </w:pPr>
      <w:r w:rsidRPr="00F42051">
        <w:rPr>
          <w:rFonts w:asciiTheme="minorHAnsi" w:eastAsiaTheme="minorHAnsi" w:hAnsiTheme="minorHAnsi" w:cstheme="minorBidi"/>
          <w:color w:val="002060"/>
          <w:sz w:val="20"/>
          <w:vertAlign w:val="superscript"/>
        </w:rPr>
        <w:t>2</w:t>
      </w:r>
      <w:r w:rsidR="005461AB">
        <w:rPr>
          <w:rFonts w:asciiTheme="minorHAnsi" w:eastAsiaTheme="minorHAnsi" w:hAnsiTheme="minorHAnsi" w:cstheme="minorBidi"/>
          <w:color w:val="002060"/>
        </w:rPr>
        <w:t xml:space="preserve"> </w:t>
      </w:r>
      <w:r w:rsidRPr="00F42051">
        <w:rPr>
          <w:rFonts w:asciiTheme="minorHAnsi" w:eastAsiaTheme="minorHAnsi" w:hAnsiTheme="minorHAnsi" w:cstheme="minorBidi"/>
          <w:color w:val="002060"/>
          <w:sz w:val="18"/>
        </w:rPr>
        <w:t>Ce ratio constitue :</w:t>
      </w:r>
    </w:p>
    <w:p w:rsidR="00F42051" w:rsidRPr="00F42051" w:rsidRDefault="00F42051" w:rsidP="00F42051">
      <w:pPr>
        <w:spacing w:after="0"/>
        <w:ind w:left="170" w:hanging="170"/>
        <w:jc w:val="both"/>
        <w:rPr>
          <w:rFonts w:asciiTheme="minorHAnsi" w:eastAsiaTheme="minorHAnsi" w:hAnsiTheme="minorHAnsi" w:cstheme="minorBidi"/>
          <w:color w:val="002060"/>
          <w:sz w:val="18"/>
        </w:rPr>
      </w:pPr>
      <w:r w:rsidRPr="00F42051">
        <w:rPr>
          <w:rFonts w:asciiTheme="minorHAnsi" w:eastAsiaTheme="minorHAnsi" w:hAnsiTheme="minorHAnsi" w:cstheme="minorBidi"/>
          <w:color w:val="002060"/>
          <w:sz w:val="18"/>
        </w:rPr>
        <w:t xml:space="preserve">   - un indicateur de défaillance à l'horizon de 2 ou 3 ans. Les études statistiques réalisées par la centrale des bilans de la Banque de </w:t>
      </w:r>
      <w:r w:rsidR="005461AB" w:rsidRPr="00F42051">
        <w:rPr>
          <w:rFonts w:asciiTheme="minorHAnsi" w:eastAsiaTheme="minorHAnsi" w:hAnsiTheme="minorHAnsi" w:cstheme="minorBidi"/>
          <w:color w:val="002060"/>
          <w:sz w:val="18"/>
        </w:rPr>
        <w:t xml:space="preserve">France </w:t>
      </w:r>
      <w:r w:rsidR="005461AB">
        <w:rPr>
          <w:rFonts w:asciiTheme="minorHAnsi" w:eastAsiaTheme="minorHAnsi" w:hAnsiTheme="minorHAnsi" w:cstheme="minorBidi"/>
          <w:color w:val="002060"/>
          <w:sz w:val="18"/>
        </w:rPr>
        <w:t>ont</w:t>
      </w:r>
      <w:r w:rsidRPr="00F42051">
        <w:rPr>
          <w:rFonts w:asciiTheme="minorHAnsi" w:eastAsiaTheme="minorHAnsi" w:hAnsiTheme="minorHAnsi" w:cstheme="minorBidi"/>
          <w:color w:val="002060"/>
          <w:sz w:val="18"/>
        </w:rPr>
        <w:t xml:space="preserve"> permis en effet de déterminer que ce ratio commençait à se dégrader 2 à 3 ans avant la défaillance de l'entreprise.</w:t>
      </w:r>
    </w:p>
    <w:p w:rsidR="00F42051" w:rsidRPr="00F42051" w:rsidRDefault="00F42051" w:rsidP="00F42051">
      <w:pPr>
        <w:ind w:left="170" w:hanging="170"/>
        <w:jc w:val="both"/>
        <w:rPr>
          <w:rFonts w:asciiTheme="minorHAnsi" w:eastAsiaTheme="minorHAnsi" w:hAnsiTheme="minorHAnsi" w:cstheme="minorBidi"/>
          <w:color w:val="002060"/>
          <w:sz w:val="18"/>
        </w:rPr>
      </w:pPr>
      <w:r w:rsidRPr="00F42051">
        <w:rPr>
          <w:rFonts w:asciiTheme="minorHAnsi" w:eastAsiaTheme="minorHAnsi" w:hAnsiTheme="minorHAnsi" w:cstheme="minorBidi"/>
          <w:color w:val="002060"/>
          <w:sz w:val="18"/>
        </w:rPr>
        <w:t xml:space="preserve">  - le principal signal d'alarme pour les prêteurs de capitaux.</w:t>
      </w:r>
      <w:bookmarkStart w:id="0" w:name="_GoBack"/>
      <w:bookmarkEnd w:id="0"/>
    </w:p>
    <w:p w:rsidR="00F42051" w:rsidRPr="00F42051" w:rsidRDefault="00F42051" w:rsidP="00F42051">
      <w:pPr>
        <w:spacing w:after="0"/>
        <w:ind w:left="170" w:hanging="170"/>
        <w:jc w:val="both"/>
        <w:rPr>
          <w:rFonts w:asciiTheme="minorHAnsi" w:eastAsiaTheme="minorHAnsi" w:hAnsiTheme="minorHAnsi" w:cstheme="minorBidi"/>
          <w:color w:val="002060"/>
          <w:sz w:val="18"/>
        </w:rPr>
      </w:pPr>
      <w:r w:rsidRPr="00F42051">
        <w:rPr>
          <w:rFonts w:asciiTheme="minorHAnsi" w:eastAsiaTheme="minorHAnsi" w:hAnsiTheme="minorHAnsi" w:cstheme="minorBidi"/>
          <w:color w:val="002060"/>
          <w:sz w:val="18"/>
        </w:rPr>
        <w:t xml:space="preserve">  Ce ratio tire sa pertinence de son caractère composite :</w:t>
      </w:r>
    </w:p>
    <w:p w:rsidR="00F42051" w:rsidRPr="00F42051" w:rsidRDefault="00F42051" w:rsidP="00F42051">
      <w:pPr>
        <w:spacing w:after="0"/>
        <w:ind w:left="170" w:hanging="170"/>
        <w:jc w:val="both"/>
        <w:rPr>
          <w:rFonts w:asciiTheme="minorHAnsi" w:eastAsiaTheme="minorHAnsi" w:hAnsiTheme="minorHAnsi" w:cstheme="minorBidi"/>
          <w:color w:val="002060"/>
          <w:sz w:val="18"/>
        </w:rPr>
      </w:pPr>
      <w:r w:rsidRPr="00F42051">
        <w:rPr>
          <w:rFonts w:asciiTheme="minorHAnsi" w:eastAsiaTheme="minorHAnsi" w:hAnsiTheme="minorHAnsi" w:cstheme="minorBidi"/>
          <w:color w:val="002060"/>
          <w:sz w:val="18"/>
        </w:rPr>
        <w:t xml:space="preserve">  - il est le reflet de l'évolution de l'exploitation, mesurée à travers l'EBE, principale source de trésorerie pour l'entreprise,</w:t>
      </w:r>
    </w:p>
    <w:p w:rsidR="00F42051" w:rsidRPr="00F42051" w:rsidRDefault="00F42051" w:rsidP="00F42051">
      <w:pPr>
        <w:spacing w:after="0"/>
        <w:ind w:left="170" w:hanging="170"/>
        <w:jc w:val="both"/>
        <w:rPr>
          <w:rFonts w:asciiTheme="minorHAnsi" w:eastAsiaTheme="minorHAnsi" w:hAnsiTheme="minorHAnsi" w:cstheme="minorBidi"/>
          <w:color w:val="002060"/>
          <w:sz w:val="18"/>
        </w:rPr>
      </w:pPr>
      <w:r w:rsidRPr="00F42051">
        <w:rPr>
          <w:rFonts w:asciiTheme="minorHAnsi" w:eastAsiaTheme="minorHAnsi" w:hAnsiTheme="minorHAnsi" w:cstheme="minorBidi"/>
          <w:color w:val="002060"/>
          <w:sz w:val="18"/>
        </w:rPr>
        <w:t xml:space="preserve">  - il mesure à travers les frais financiers la relation entre la situation de trésorerie et le coût du crédit : plus l'entreprise est endettée, plus elle doit payer à ses banquiers une prime de risque élevée,</w:t>
      </w:r>
    </w:p>
    <w:p w:rsidR="00F42051" w:rsidRPr="00F42051" w:rsidRDefault="00F42051" w:rsidP="00F42051">
      <w:pPr>
        <w:spacing w:after="0"/>
        <w:ind w:left="170" w:hanging="170"/>
        <w:jc w:val="both"/>
        <w:rPr>
          <w:rFonts w:asciiTheme="minorHAnsi" w:eastAsiaTheme="minorHAnsi" w:hAnsiTheme="minorHAnsi" w:cstheme="minorBidi"/>
          <w:color w:val="002060"/>
          <w:sz w:val="18"/>
        </w:rPr>
      </w:pPr>
      <w:r w:rsidRPr="00F42051">
        <w:rPr>
          <w:rFonts w:asciiTheme="minorHAnsi" w:eastAsiaTheme="minorHAnsi" w:hAnsiTheme="minorHAnsi" w:cstheme="minorBidi"/>
          <w:color w:val="002060"/>
          <w:sz w:val="18"/>
        </w:rPr>
        <w:t xml:space="preserve">  - il est enfin directement fonction de l'évolution des taux d'intérêt.</w:t>
      </w:r>
    </w:p>
    <w:p w:rsidR="00F42051" w:rsidRPr="008C73BD" w:rsidRDefault="00F42051" w:rsidP="008C73BD">
      <w:pPr>
        <w:autoSpaceDE w:val="0"/>
        <w:autoSpaceDN w:val="0"/>
        <w:adjustRightInd w:val="0"/>
        <w:spacing w:after="0"/>
        <w:ind w:left="0" w:firstLine="0"/>
        <w:rPr>
          <w:rFonts w:cs="Garamond-BookCondensed"/>
          <w:sz w:val="16"/>
          <w:szCs w:val="16"/>
        </w:rPr>
      </w:pPr>
    </w:p>
    <w:sectPr w:rsidR="00F42051" w:rsidRPr="008C73BD" w:rsidSect="000C4BD6">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Garamond-Book">
    <w:altName w:val="Malgun Gothic Semilight"/>
    <w:panose1 w:val="00000000000000000000"/>
    <w:charset w:val="88"/>
    <w:family w:val="roman"/>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Std">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Condensed-Black">
    <w:panose1 w:val="00000000000000000000"/>
    <w:charset w:val="00"/>
    <w:family w:val="swiss"/>
    <w:notTrueType/>
    <w:pitch w:val="default"/>
    <w:sig w:usb0="00000003" w:usb1="00000000" w:usb2="00000000" w:usb3="00000000" w:csb0="00000001" w:csb1="00000000"/>
  </w:font>
  <w:font w:name="HelveticaNeue-SC750">
    <w:panose1 w:val="00000000000000000000"/>
    <w:charset w:val="00"/>
    <w:family w:val="swiss"/>
    <w:notTrueType/>
    <w:pitch w:val="default"/>
    <w:sig w:usb0="00000003" w:usb1="00000000" w:usb2="00000000" w:usb3="00000000" w:csb0="00000001" w:csb1="00000000"/>
  </w:font>
  <w:font w:name="Garamond-BoldCondensed">
    <w:altName w:val="Garamond"/>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Garamond-BookItalic">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alt="triangle" style="width:9pt;height:7.5pt;visibility:visible;mso-wrap-style:square" o:bullet="t">
        <v:imagedata r:id="rId1" o:title="triangle"/>
      </v:shape>
    </w:pict>
  </w:numPicBullet>
  <w:abstractNum w:abstractNumId="0" w15:restartNumberingAfterBreak="0">
    <w:nsid w:val="2F285B09"/>
    <w:multiLevelType w:val="hybridMultilevel"/>
    <w:tmpl w:val="6136CF02"/>
    <w:lvl w:ilvl="0" w:tplc="898C333E">
      <w:numFmt w:val="bullet"/>
      <w:lvlText w:val=""/>
      <w:lvlJc w:val="left"/>
      <w:pPr>
        <w:ind w:left="720" w:hanging="360"/>
      </w:pPr>
      <w:rPr>
        <w:rFonts w:ascii="Symbol" w:eastAsia="Garamond-Book" w:hAnsi="Symbol" w:cs="Garamond-Book"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9B3AC8"/>
    <w:multiLevelType w:val="hybridMultilevel"/>
    <w:tmpl w:val="54189822"/>
    <w:lvl w:ilvl="0" w:tplc="C1EE3AC8">
      <w:numFmt w:val="bullet"/>
      <w:lvlText w:val="-"/>
      <w:lvlJc w:val="left"/>
      <w:pPr>
        <w:ind w:left="720" w:hanging="360"/>
      </w:pPr>
      <w:rPr>
        <w:rFonts w:ascii="Calibri" w:eastAsia="CourierStd" w:hAnsi="Calibri" w:cs="CourierStd" w:hint="default"/>
        <w:color w:val="9A9A9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14"/>
    <w:rsid w:val="000461D9"/>
    <w:rsid w:val="00085358"/>
    <w:rsid w:val="000C4BD6"/>
    <w:rsid w:val="000D2E9A"/>
    <w:rsid w:val="001027BF"/>
    <w:rsid w:val="0011306F"/>
    <w:rsid w:val="0023661C"/>
    <w:rsid w:val="002421F3"/>
    <w:rsid w:val="002E3FD6"/>
    <w:rsid w:val="003123AA"/>
    <w:rsid w:val="003B6912"/>
    <w:rsid w:val="003E10AC"/>
    <w:rsid w:val="0047651B"/>
    <w:rsid w:val="00481124"/>
    <w:rsid w:val="004979A7"/>
    <w:rsid w:val="005461AB"/>
    <w:rsid w:val="0057124D"/>
    <w:rsid w:val="005B7565"/>
    <w:rsid w:val="005C1D31"/>
    <w:rsid w:val="00605814"/>
    <w:rsid w:val="00650325"/>
    <w:rsid w:val="00652F22"/>
    <w:rsid w:val="00674EDF"/>
    <w:rsid w:val="006D25D6"/>
    <w:rsid w:val="007C2105"/>
    <w:rsid w:val="007D7FF2"/>
    <w:rsid w:val="00861B09"/>
    <w:rsid w:val="008C73BD"/>
    <w:rsid w:val="008E62E1"/>
    <w:rsid w:val="009A457D"/>
    <w:rsid w:val="009D2C93"/>
    <w:rsid w:val="00A433D3"/>
    <w:rsid w:val="00A54002"/>
    <w:rsid w:val="00B403F9"/>
    <w:rsid w:val="00B5319F"/>
    <w:rsid w:val="00B546CB"/>
    <w:rsid w:val="00BC57A6"/>
    <w:rsid w:val="00BF5B23"/>
    <w:rsid w:val="00C7419C"/>
    <w:rsid w:val="00CA5635"/>
    <w:rsid w:val="00D744D8"/>
    <w:rsid w:val="00DC29F8"/>
    <w:rsid w:val="00E37518"/>
    <w:rsid w:val="00E55AAD"/>
    <w:rsid w:val="00ED5398"/>
    <w:rsid w:val="00EE3ACD"/>
    <w:rsid w:val="00EF09BB"/>
    <w:rsid w:val="00F01473"/>
    <w:rsid w:val="00F42051"/>
    <w:rsid w:val="00FB1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698BB2"/>
  <w15:chartTrackingRefBased/>
  <w15:docId w15:val="{AF8FCAD1-C5DB-431B-BC3B-611941AD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0AC"/>
    <w:pPr>
      <w:spacing w:after="60"/>
      <w:ind w:left="714" w:hanging="357"/>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5814"/>
    <w:pPr>
      <w:ind w:left="720"/>
      <w:contextualSpacing/>
    </w:pPr>
  </w:style>
  <w:style w:type="table" w:styleId="Grilledutableau">
    <w:name w:val="Table Grid"/>
    <w:basedOn w:val="TableauNormal"/>
    <w:uiPriority w:val="59"/>
    <w:rsid w:val="00B54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8C73BD"/>
    <w:pPr>
      <w:spacing w:after="0"/>
    </w:pPr>
    <w:rPr>
      <w:rFonts w:ascii="Tahoma" w:hAnsi="Tahoma" w:cs="Tahoma"/>
      <w:sz w:val="16"/>
      <w:szCs w:val="16"/>
    </w:rPr>
  </w:style>
  <w:style w:type="character" w:customStyle="1" w:styleId="TextedebullesCar">
    <w:name w:val="Texte de bulles Car"/>
    <w:link w:val="Textedebulles"/>
    <w:uiPriority w:val="99"/>
    <w:semiHidden/>
    <w:rsid w:val="008C7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1193-B575-4AC5-BBEF-7B5DDFEF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2433</Words>
  <Characters>13383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Utilisateur Windows</cp:lastModifiedBy>
  <cp:revision>14</cp:revision>
  <dcterms:created xsi:type="dcterms:W3CDTF">2016-12-30T16:14:00Z</dcterms:created>
  <dcterms:modified xsi:type="dcterms:W3CDTF">2019-09-04T13:37:00Z</dcterms:modified>
</cp:coreProperties>
</file>